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والمركز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الإقليمي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للتراث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يتعاونان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لاستضافة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ورشة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مدتها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ثلاثة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أيام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اتفاقية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العالمي</w:t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18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فبراير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الإقليمي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الإعلان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أيام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والحفاظ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المقرر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الورشة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عنوان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ومفاهيم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اتفاقية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1972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واتفاقية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1954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الممتلكات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النزاع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المسلح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18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فبراير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2024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الرميحي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التنفيذي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الحفاظ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الممتلكات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وحمايتها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مسألة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ومازالت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وتتطلب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مجهود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والمحلي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وتظافر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الجهود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سبيل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سعينا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جاهدين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الحفاظ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الموروث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بالحفاظ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مواقعها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وممتلكاتها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ضمان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الطويل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قامت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الإقليمي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لعقد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الورش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فهمنا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وتطبيقنا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للمعايير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والتوجيهات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وضعتها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منظمة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اليونسكو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أساسية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وتنفيذ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الاتفاقيات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ملتقى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الخبراء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والعاملين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والأطراف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مختلف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للتعمق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الآليات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والمفاهيم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اتفاقية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1972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واتفاقية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1954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الممتلكات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النزاع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المسلح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وعلقت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الدكتورة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فاطمة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السليطي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والشؤون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الحكومية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قائلة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سعداء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الإقليمي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لاستضافة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الورش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القيمة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تعاوننا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خطوة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الحفاظ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منطقتنا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المنعقدة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ايام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ومفاهيم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اتفاقية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1972،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واتفاقية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1954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الممتلكات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النزاع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المسلح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تجسد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جهودنا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المستمرة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تراثنا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حريصون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المساهمة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وتبادل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والخبرات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نتطلع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المزيد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تعزز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أهدافنا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المشتركة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 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النقاط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لورشة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مناقشات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متعمقة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ودراسات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وجلسات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تفاعلية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يديرها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متحدثون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ومنظمون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متميزون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وسوف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يستكشف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الورشة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الاستراتيجيات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الفعالة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للحفاظ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ويتناولون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التحديات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تفرضها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النزاعات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المسلحة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ويحددون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الأساليب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للتخفيف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المخاطر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لتوطيد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الإقليمي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وتأكيد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التزامهم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بتعزيز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الحفاظ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وتوطيد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الإقليمي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Sakkal Majalla" w:cs="Sakkal Majalla" w:eastAsia="Sakkal Majalla" w:hAnsi="Sakkal Majalla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لمزيد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يرجى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زيارة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hyperlink r:id="rId7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0"/>
          </w:rPr>
          <w:t xml:space="preserve">www.qm.org.qa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###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8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‏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 ‏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وتشمل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المستقبلية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ومطاحن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لوسيل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.‏</w:t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‎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طلق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وتدعم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وإبداعية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وليوان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استديوهات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ومختبرات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تصقل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وتتيح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لإرساء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‏</w:t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---</w:t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للتواصل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الإعلامي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خميس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فرج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العبدالله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mfaraj@qm.org.qa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+974 4402 8544</w:t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7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747446" cy="1043186"/>
          <wp:effectExtent b="0" l="0" r="0" t="0"/>
          <wp:docPr id="16882868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47446" cy="10431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28358" cy="1046701"/>
          <wp:effectExtent b="0" l="0" r="0" t="0"/>
          <wp:docPr id="16882868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358" cy="10467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F5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F50F6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F50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0A6D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6D74"/>
  </w:style>
  <w:style w:type="paragraph" w:styleId="Footer">
    <w:name w:val="footer"/>
    <w:basedOn w:val="Normal"/>
    <w:link w:val="FooterChar"/>
    <w:uiPriority w:val="99"/>
    <w:unhideWhenUsed w:val="1"/>
    <w:rsid w:val="000A6D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6D74"/>
  </w:style>
  <w:style w:type="paragraph" w:styleId="NormalWeb">
    <w:name w:val="Normal (Web)"/>
    <w:basedOn w:val="Normal"/>
    <w:unhideWhenUsed w:val="1"/>
    <w:rsid w:val="004427F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729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qm.org.q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l18ZWq9ZgwTD++mlOjJGGJl2EA==">CgMxLjA4AHIhMTNmU0FtUWg0bC1SSkQ0ZHNZNmRNV1U5cTBhTmh3TTRM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2024-02-18T08:04:00Z</dcterms:created>
  <dc:creator>Haneen Al Hunaiti</dc:creator>
</cp:coreProperties>
</file>