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بينالي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يعلن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أوائل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الفائزين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بجائزة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تقدير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للتميز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الفائزون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فبركة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استوديوز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وفضاء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وغريبة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وعبير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صيقلي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يستفيدون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جوائز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للتوجيه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وانفتاح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لوجستي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ومزايا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أخرى</w:t>
      </w:r>
    </w:p>
    <w:p w:rsidR="00000000" w:rsidDel="00000000" w:rsidP="00000000" w:rsidRDefault="00000000" w:rsidRPr="00000000" w14:paraId="00000003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الصور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الصحفية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للتحميل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هنا</w:t>
      </w:r>
    </w:p>
    <w:p w:rsidR="00000000" w:rsidDel="00000000" w:rsidP="00000000" w:rsidRDefault="00000000" w:rsidRPr="00000000" w14:paraId="00000004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28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فبراير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2024 —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حفل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أقيم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قلب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بالعاصمة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أعلن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الفائزين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الأوائل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المرموقة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لتكريم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ودعمها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فئات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المنتجات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الداخلي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الأثاث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الحرف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اليدوية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الرشيدة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ملامح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التميز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والفائزون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2024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فبركة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استوديوز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الداخلي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الأثاث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وغريبة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72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اليدوية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صيقلي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وقالت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أمناءمتاحف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ورئيس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أتقدم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بأحر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التهاني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للفائزين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فبفضل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مهاراتهم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الرائعة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ومسيراتهم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الصاعدة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يجسدون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نجاح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إتاحة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للممارسين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تعينهم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مسيرتهم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والتواصل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محترفي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المرموقين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اجتمعوا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الافتتاحي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التاريخي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C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الفائزون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مبلغ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100,000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ريال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27,500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أمريكي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للحفاظ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ممارساتهم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توجيه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يقدمه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مصممون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عالميون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وخبراء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عملهم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وإتاحة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منصات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لعرض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أعمالهم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يتيح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فرص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للانفتاح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السوق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يحصلون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دعم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لوجستي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ودعم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التأمين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لفترة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مزايا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فهد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العبيدلي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نائب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بينالي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‏«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»‏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للبرامج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والشراكات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التميز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بالأمر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إتاحة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التصمبم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للاحتفاء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بالمصممين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البارعين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والمبتكرين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المقيمين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مصممينا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وصناعاتنا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نتقدم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بالتهنئة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الفائزين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ويسعدنا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النتائج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سيحققونها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ممارساتهم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والتجارية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تمنحه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E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الفائزين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تحكيم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تتكو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ثمانية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خبراء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محترفون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ورواد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مشهورون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يمثلون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مجتمعات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والإقليمية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والعالمية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اشت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رط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المتنافسين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الجائزة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لديهم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جرى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خضم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لمدة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سنتين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وعشر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سنوات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1"/>
        </w:rPr>
        <w:t xml:space="preserve">تقييم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الطلبات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معايير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والتطبيق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المحتمل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والمسؤولية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اختيار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الفائزين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قصيرة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المصممين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الموهوبين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وكارلو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مسعود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وكوثر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الصفار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شاكيل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الوكيل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وريتشارد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ياسمين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وسامر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المنتجات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وعبير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فواز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وعائشة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المهندي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وكلثم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الكواري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وبشر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الطباع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الداخلي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وعمار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كالو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وأسماء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وبتول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وستيفاني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وشربل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غريبة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وسيزار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ألكسيس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الأثاث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وعبير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صيقلي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السلمان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وبوو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ديزاين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ومريم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الحميد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ونسرين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اليدوية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11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بالذكر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الافتتاحية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24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فبراير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2024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ويستمر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عرضه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أغسطس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2024.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استعراض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إقليمي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70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مصمم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يعرضون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38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لفوا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بتصميمها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خمسة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وحلقات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نقاشية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تتناول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مجالات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والعمران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والمناظر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الغرافيكي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اليدوية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التصميم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بينالي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للتميز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وإقليمي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وعالمي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ومبادرة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أحدثتها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الرشيدة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لسعادة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ويشمل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معارض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بتصميمها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وبرنامج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متكامل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هامش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البينالي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بتعاون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وثيق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وليوان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وجامعة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فرجينيا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كومنولث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ومشيرب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العقارية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شتى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إنشاء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المصممين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وتعزيز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ويقام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البينالي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ليواصل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اهتمامه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بالمواهب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الناشئة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القطاع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وغلين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أدامسون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لبينالي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</w:p>
    <w:p w:rsidR="00000000" w:rsidDel="00000000" w:rsidP="00000000" w:rsidRDefault="00000000" w:rsidRPr="00000000" w14:paraId="00000016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المستقبلية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ومطاحن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لوسيل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وليوان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استديوهات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ومختبرات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تصقل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وتتيح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لإرساء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1C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بالأنشطة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والاحتفاء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والترويج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وتسعى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تعاونها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الشركاء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والضيافة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والقطاع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لإعلاء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والأنشطة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العقارية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العقارية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عقاري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تابعة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المساهمة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تحقيق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الأهداف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الاستراتيجية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رؤية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2030.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وتسعى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العقارية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إثراء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وتحسين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جودة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المعيشة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عمرانية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معاصرة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ومبتكرة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تعكس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أصالة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وعاداته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وتقاليده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أقامت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العقاري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شراكات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الخبراء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والمختص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مجالاتهم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لاستخلاص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الدروس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المعماري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المستفادة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أحدث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توفره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الصديقة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للبيئة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اعتماد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أسلوب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التخطيط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العمراني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الطرق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التقليدية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والتكنولوجيات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المتطورة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للحفاظ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والهوية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تولد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لغة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معماري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وثيقة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بمحيطها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ومفعمة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بطابع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خاص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ويمكن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كركيزة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لتشييد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ومنشآت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تجمعها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قواسم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مشتركة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وتتبن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نهجا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عمراني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ومتناسقا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ً. </w:t>
      </w:r>
    </w:p>
    <w:p w:rsidR="00000000" w:rsidDel="00000000" w:rsidP="00000000" w:rsidRDefault="00000000" w:rsidRPr="00000000" w14:paraId="00000022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تشييد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قلب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المشروع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الرائد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العقارية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نوعية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مستوى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إحياء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المجالات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الحضرية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مستدام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وحصلت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العقارية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آيزو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المعهد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البريطاني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للمعايير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لاتباعها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معايير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الجودة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(9001:2015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ISO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والأداء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(14001:2015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ISO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ومعايير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والسلامة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الوظيفية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(18001:2007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BS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OHSAS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ومعايير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المخاطر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(31000:2009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ISO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للتواصل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الإعلامي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6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جوليا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كايرا</w:t>
      </w:r>
    </w:p>
    <w:p w:rsidR="00000000" w:rsidDel="00000000" w:rsidP="00000000" w:rsidRDefault="00000000" w:rsidRPr="00000000" w14:paraId="00000027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jcaira@qm.org.qa</w:t>
      </w:r>
    </w:p>
    <w:p w:rsidR="00000000" w:rsidDel="00000000" w:rsidP="00000000" w:rsidRDefault="00000000" w:rsidRPr="00000000" w14:paraId="00000028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97470215800+</w:t>
      </w:r>
    </w:p>
    <w:p w:rsidR="00000000" w:rsidDel="00000000" w:rsidP="00000000" w:rsidRDefault="00000000" w:rsidRPr="00000000" w14:paraId="00000029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خميس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العبدالله</w:t>
      </w:r>
    </w:p>
    <w:p w:rsidR="00000000" w:rsidDel="00000000" w:rsidP="00000000" w:rsidRDefault="00000000" w:rsidRPr="00000000" w14:paraId="0000002A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mfaraj@qm.org.qa</w:t>
      </w:r>
    </w:p>
    <w:p w:rsidR="00000000" w:rsidDel="00000000" w:rsidP="00000000" w:rsidRDefault="00000000" w:rsidRPr="00000000" w14:paraId="0000002B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97444028544+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Sakkal Majall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4600078</wp:posOffset>
          </wp:positionH>
          <wp:positionV relativeFrom="paragraph">
            <wp:posOffset>234366</wp:posOffset>
          </wp:positionV>
          <wp:extent cx="1277620" cy="1179830"/>
          <wp:effectExtent b="0" l="0" r="0" t="0"/>
          <wp:wrapTopAndBottom distB="0" distT="0"/>
          <wp:docPr descr="Qatar Museums Logo" id="4" name="image1.png"/>
          <a:graphic>
            <a:graphicData uri="http://schemas.openxmlformats.org/drawingml/2006/picture">
              <pic:pic>
                <pic:nvPicPr>
                  <pic:cNvPr descr="Qatar Museums Logo" id="0" name="image1.png"/>
                  <pic:cNvPicPr preferRelativeResize="0"/>
                </pic:nvPicPr>
                <pic:blipFill>
                  <a:blip r:embed="rId1"/>
                  <a:srcRect b="0" l="0" r="14147" t="0"/>
                  <a:stretch>
                    <a:fillRect/>
                  </a:stretch>
                </pic:blipFill>
                <pic:spPr>
                  <a:xfrm>
                    <a:off x="0" y="0"/>
                    <a:ext cx="1277620" cy="11798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2109152</wp:posOffset>
          </wp:positionH>
          <wp:positionV relativeFrom="paragraph">
            <wp:posOffset>365434</wp:posOffset>
          </wp:positionV>
          <wp:extent cx="1725295" cy="974725"/>
          <wp:effectExtent b="0" l="0" r="0" t="0"/>
          <wp:wrapTopAndBottom distB="0" distT="0"/>
          <wp:docPr descr="A purple text on a black background&#10;&#10;Description automatically generated" id="5" name="image2.png"/>
          <a:graphic>
            <a:graphicData uri="http://schemas.openxmlformats.org/drawingml/2006/picture">
              <pic:pic>
                <pic:nvPicPr>
                  <pic:cNvPr descr="A purple text on a black background&#10;&#10;Description automatically generated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295" cy="974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-156516</wp:posOffset>
          </wp:positionH>
          <wp:positionV relativeFrom="paragraph">
            <wp:posOffset>200729</wp:posOffset>
          </wp:positionV>
          <wp:extent cx="1539875" cy="1292225"/>
          <wp:effectExtent b="0" l="0" r="0" t="0"/>
          <wp:wrapTopAndBottom distB="0" distT="0"/>
          <wp:docPr descr="A logo with text on it&#10;&#10;Description automatically generated" id="6" name="image3.jpg"/>
          <a:graphic>
            <a:graphicData uri="http://schemas.openxmlformats.org/drawingml/2006/picture">
              <pic:pic>
                <pic:nvPicPr>
                  <pic:cNvPr descr="A logo with text on it&#10;&#10;Description automatically generated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875" cy="1292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Sakkal Majalla" w:cs="Sakkal Majalla" w:eastAsia="Sakkal Majalla" w:hAnsi="Sakkal Majall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3F7FFA"/>
  </w:style>
  <w:style w:type="paragraph" w:styleId="ListParagraph">
    <w:name w:val="List Paragraph"/>
    <w:basedOn w:val="Normal"/>
    <w:uiPriority w:val="34"/>
    <w:qFormat w:val="1"/>
    <w:rsid w:val="00B27414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907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39073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 w:val="1"/>
    <w:rsid w:val="0039073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hfzKjY9xu/f237sbrG3McgqWw==">CgMxLjAyCGguZ2pkZ3hzOAByITE0dkR3MmpQMmxUMF9aSTZVckJrNUU5NTM3MUpNU19GZQ==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2024-02-28T16:11:00Z</dcterms:created>
  <dc:creator>Brady Littlefield</dc:creator>
</cp:coreProperties>
</file>