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تتعاون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مايكروسوفت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لتقديم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حلول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رقمية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ثري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الزوار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29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فبراير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2024 -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أعلنت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توقيع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مذكرة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مايكروسوفت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لإثراء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الذكية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لتوفير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إمكانات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سلسة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تتميز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بالتكنولوجيا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للمقيمين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توقيع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المذكرة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مجريات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الآلاف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والمستثمرين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روابط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عجلة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عروض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مايكروسوفت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خدمات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Azure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وإدخال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شركاء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تجربة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الذكية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الذكاء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الاصطناعي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الرقمي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التابع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لمايكروسوفت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التكنولوجي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واستكشاف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الذكية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الذكاء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الاصطناعي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المعزز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الافتراضي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وتقديم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تطبيق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OpenAI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تعاونت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مايكروسوفت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سابق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لتيسير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انتقال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سحابة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مايكروسوفت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لتمكينه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المعزز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والافتراضي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والمختلط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rFonts w:ascii="Sakkal Majalla" w:cs="Sakkal Majalla" w:eastAsia="Sakkal Majalla" w:hAnsi="Sakkal Majalla"/>
          <w:b w:val="1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3-2-1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للتواصل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الإعلامي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خميس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العبدالله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mfaraj@qm.org.qa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+974 4402 8544</w:t>
      </w:r>
    </w:p>
    <w:p w:rsidR="00000000" w:rsidDel="00000000" w:rsidP="00000000" w:rsidRDefault="00000000" w:rsidRPr="00000000" w14:paraId="00000010">
      <w:pPr>
        <w:bidi w:val="1"/>
        <w:spacing w:line="240" w:lineRule="auto"/>
        <w:jc w:val="center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Fonts w:ascii="Sakkal Majalla" w:cs="Sakkal Majalla" w:eastAsia="Sakkal Majalla" w:hAnsi="Sakkal Majall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64" w:top="864" w:left="864" w:right="864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62D6"/>
    <w:rPr>
      <w:kern w:val="0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B62D6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62D6"/>
    <w:rPr>
      <w:kern w:val="0"/>
      <w:lang w:val="en-GB"/>
    </w:rPr>
  </w:style>
  <w:style w:type="character" w:styleId="Hyperlink">
    <w:name w:val="Hyperlink"/>
    <w:basedOn w:val="DefaultParagraphFont"/>
    <w:uiPriority w:val="99"/>
    <w:unhideWhenUsed w:val="1"/>
    <w:rsid w:val="009B62D6"/>
    <w:rPr>
      <w:color w:val="0563c1" w:themeColor="hyperlink"/>
      <w:u w:val="single"/>
    </w:rPr>
  </w:style>
  <w:style w:type="paragraph" w:styleId="xmsonormal" w:customStyle="1">
    <w:name w:val="x_msonormal"/>
    <w:basedOn w:val="Normal"/>
    <w:rsid w:val="009B62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xxmsonormal" w:customStyle="1">
    <w:name w:val="x_x_msonormal"/>
    <w:basedOn w:val="Normal"/>
    <w:rsid w:val="009B62D6"/>
    <w:pPr>
      <w:spacing w:after="0" w:line="240" w:lineRule="auto"/>
    </w:pPr>
    <w:rPr>
      <w:rFonts w:ascii="Calibri" w:cs="Times New Roman" w:hAnsi="Calibri"/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9B62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9B62D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62D6"/>
    <w:rPr>
      <w:kern w:val="0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yc0AGECPzz2N2IQbzBKAbywgRQ==">CgMxLjA4AHIhMWhCOVpCWVJQeTVNSF9pOFpzeF9vU1dURHdlam51dllZ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2024-02-28T09:20:00Z</dcterms:created>
  <dc:creator>Bassant elrazzaz</dc:creator>
</cp:coreProperties>
</file>