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B397" w14:textId="77777777" w:rsidR="009457CE" w:rsidRDefault="009457CE">
      <w:bookmarkStart w:id="0" w:name="_Hlk121074476"/>
      <w:bookmarkEnd w:id="0"/>
    </w:p>
    <w:p w14:paraId="341D8E5C" w14:textId="77777777" w:rsidR="009457CE" w:rsidRDefault="009457CE"/>
    <w:p w14:paraId="4FCE4DCF" w14:textId="77777777" w:rsidR="00CE22E5" w:rsidRPr="00143882" w:rsidRDefault="00CE22E5">
      <w:pPr>
        <w:spacing w:line="360" w:lineRule="auto"/>
        <w:ind w:left="6394"/>
        <w:jc w:val="left"/>
        <w:rPr>
          <w:sz w:val="2"/>
          <w:szCs w:val="2"/>
        </w:rPr>
      </w:pPr>
    </w:p>
    <w:p w14:paraId="48F6BDC3" w14:textId="6F153293" w:rsidR="009457CE" w:rsidRDefault="00CE22E5">
      <w:pPr>
        <w:spacing w:line="360" w:lineRule="auto"/>
        <w:ind w:left="6394"/>
        <w:jc w:val="left"/>
        <w:rPr>
          <w:sz w:val="21"/>
          <w:szCs w:val="21"/>
        </w:rPr>
      </w:pPr>
      <w:r w:rsidRPr="00F23B34">
        <w:rPr>
          <w:b/>
          <w:bCs/>
          <w:sz w:val="21"/>
          <w:szCs w:val="21"/>
        </w:rPr>
        <w:t>PR# 36</w:t>
      </w:r>
      <w:r w:rsidRPr="00F23B34">
        <w:rPr>
          <w:sz w:val="21"/>
          <w:szCs w:val="21"/>
        </w:rPr>
        <w:t xml:space="preserve">:  </w:t>
      </w:r>
      <w:r w:rsidR="00C923E5">
        <w:rPr>
          <w:sz w:val="21"/>
          <w:szCs w:val="21"/>
        </w:rPr>
        <w:t>0</w:t>
      </w:r>
      <w:r w:rsidR="00C923E5">
        <w:rPr>
          <w:sz w:val="21"/>
          <w:szCs w:val="21"/>
        </w:rPr>
        <w:t xml:space="preserve">4 </w:t>
      </w:r>
      <w:r>
        <w:rPr>
          <w:sz w:val="21"/>
          <w:szCs w:val="21"/>
        </w:rPr>
        <w:t>Dec</w:t>
      </w:r>
      <w:r w:rsidR="00C923E5">
        <w:rPr>
          <w:sz w:val="21"/>
          <w:szCs w:val="21"/>
        </w:rPr>
        <w:t xml:space="preserve">ember 2022 </w:t>
      </w:r>
    </w:p>
    <w:p w14:paraId="3CDACD23" w14:textId="77777777" w:rsidR="009457CE" w:rsidRDefault="00C923E5">
      <w:pPr>
        <w:spacing w:line="360" w:lineRule="auto"/>
        <w:ind w:left="6394"/>
        <w:jc w:val="left"/>
        <w:rPr>
          <w:color w:val="7098A7"/>
          <w:sz w:val="21"/>
          <w:szCs w:val="21"/>
        </w:rPr>
      </w:pPr>
      <w:r>
        <w:rPr>
          <w:color w:val="7098A7"/>
          <w:sz w:val="21"/>
          <w:szCs w:val="21"/>
        </w:rPr>
        <w:t>Doha - Qatar</w:t>
      </w:r>
    </w:p>
    <w:p w14:paraId="30FC95C0" w14:textId="77777777" w:rsidR="009457CE" w:rsidRDefault="009457CE">
      <w:pPr>
        <w:ind w:left="708"/>
        <w:jc w:val="right"/>
        <w:rPr>
          <w:sz w:val="21"/>
          <w:szCs w:val="21"/>
        </w:rPr>
      </w:pPr>
      <w:bookmarkStart w:id="1" w:name="_heading=h.gjdgxs" w:colFirst="0" w:colLast="0"/>
      <w:bookmarkEnd w:id="1"/>
    </w:p>
    <w:p w14:paraId="6509BF03" w14:textId="77777777" w:rsidR="009457CE" w:rsidRDefault="00C923E5">
      <w:pPr>
        <w:jc w:val="center"/>
        <w:rPr>
          <w:b/>
          <w:sz w:val="21"/>
          <w:szCs w:val="21"/>
        </w:rPr>
      </w:pPr>
      <w:r>
        <w:rPr>
          <w:b/>
          <w:sz w:val="21"/>
          <w:szCs w:val="21"/>
        </w:rPr>
        <w:t>Her Excellency Sheikha Al-</w:t>
      </w:r>
      <w:proofErr w:type="spellStart"/>
      <w:r>
        <w:rPr>
          <w:b/>
          <w:sz w:val="21"/>
          <w:szCs w:val="21"/>
        </w:rPr>
        <w:t>Mayassa</w:t>
      </w:r>
      <w:proofErr w:type="spellEnd"/>
      <w:r>
        <w:rPr>
          <w:b/>
          <w:sz w:val="21"/>
          <w:szCs w:val="21"/>
        </w:rPr>
        <w:t xml:space="preserve"> Inaugurates</w:t>
      </w:r>
    </w:p>
    <w:p w14:paraId="41F1D53E" w14:textId="19394AFC" w:rsidR="009457CE" w:rsidRDefault="00C923E5">
      <w:pPr>
        <w:jc w:val="center"/>
        <w:rPr>
          <w:b/>
          <w:sz w:val="21"/>
          <w:szCs w:val="21"/>
        </w:rPr>
      </w:pPr>
      <w:r>
        <w:rPr>
          <w:b/>
          <w:sz w:val="21"/>
          <w:szCs w:val="21"/>
        </w:rPr>
        <w:t xml:space="preserve"> Qatar-TotalEnergies Playground at the National Museum of Qatar</w:t>
      </w:r>
    </w:p>
    <w:p w14:paraId="45FE5C18" w14:textId="77777777" w:rsidR="00CE22E5" w:rsidRDefault="00CE22E5">
      <w:pPr>
        <w:jc w:val="center"/>
        <w:rPr>
          <w:b/>
          <w:sz w:val="21"/>
          <w:szCs w:val="21"/>
        </w:rPr>
      </w:pPr>
    </w:p>
    <w:p w14:paraId="74018E93" w14:textId="31D50D49" w:rsidR="00CE22E5" w:rsidRDefault="00390246">
      <w:pPr>
        <w:shd w:val="clear" w:color="auto" w:fill="FFFFFF"/>
        <w:rPr>
          <w:rFonts w:ascii="Roboto" w:eastAsia="Roboto" w:hAnsi="Roboto" w:cs="Roboto"/>
          <w:noProof/>
          <w:color w:val="000000"/>
          <w:sz w:val="27"/>
          <w:szCs w:val="27"/>
        </w:rPr>
      </w:pPr>
      <w:r>
        <w:rPr>
          <w:rFonts w:ascii="Roboto" w:eastAsia="Roboto" w:hAnsi="Roboto" w:cs="Roboto"/>
          <w:noProof/>
          <w:color w:val="000000"/>
          <w:sz w:val="27"/>
          <w:szCs w:val="27"/>
        </w:rPr>
        <w:drawing>
          <wp:inline distT="0" distB="0" distL="0" distR="0" wp14:anchorId="3DF809E0" wp14:editId="5612FF32">
            <wp:extent cx="5786120" cy="3409950"/>
            <wp:effectExtent l="0" t="0" r="508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rotWithShape="1">
                    <a:blip r:embed="rId7" cstate="print">
                      <a:extLst>
                        <a:ext uri="{28A0092B-C50C-407E-A947-70E740481C1C}">
                          <a14:useLocalDpi xmlns:a14="http://schemas.microsoft.com/office/drawing/2010/main" val="0"/>
                        </a:ext>
                      </a:extLst>
                    </a:blip>
                    <a:srcRect b="11590"/>
                    <a:stretch/>
                  </pic:blipFill>
                  <pic:spPr bwMode="auto">
                    <a:xfrm>
                      <a:off x="0" y="0"/>
                      <a:ext cx="5786120" cy="3409950"/>
                    </a:xfrm>
                    <a:prstGeom prst="rect">
                      <a:avLst/>
                    </a:prstGeom>
                    <a:ln>
                      <a:noFill/>
                    </a:ln>
                    <a:extLst>
                      <a:ext uri="{53640926-AAD7-44D8-BBD7-CCE9431645EC}">
                        <a14:shadowObscured xmlns:a14="http://schemas.microsoft.com/office/drawing/2010/main"/>
                      </a:ext>
                    </a:extLst>
                  </pic:spPr>
                </pic:pic>
              </a:graphicData>
            </a:graphic>
          </wp:inline>
        </w:drawing>
      </w:r>
      <w:r w:rsidR="00CE22E5">
        <w:rPr>
          <w:rFonts w:ascii="Roboto" w:eastAsia="Roboto" w:hAnsi="Roboto" w:cs="Roboto"/>
          <w:noProof/>
          <w:color w:val="000000"/>
          <w:sz w:val="27"/>
          <w:szCs w:val="27"/>
        </w:rPr>
        <w:t xml:space="preserve"> </w:t>
      </w:r>
    </w:p>
    <w:p w14:paraId="556B877B" w14:textId="77777777" w:rsidR="00CE22E5" w:rsidRPr="00CE22E5" w:rsidRDefault="00CE22E5">
      <w:pPr>
        <w:shd w:val="clear" w:color="auto" w:fill="FFFFFF"/>
        <w:rPr>
          <w:rFonts w:ascii="Roboto" w:eastAsia="Roboto" w:hAnsi="Roboto" w:cs="Roboto"/>
          <w:noProof/>
          <w:color w:val="000000"/>
          <w:sz w:val="4"/>
          <w:szCs w:val="4"/>
        </w:rPr>
      </w:pPr>
    </w:p>
    <w:p w14:paraId="758E8EBA" w14:textId="223F5DE3" w:rsidR="009457CE" w:rsidRDefault="00390246">
      <w:pPr>
        <w:shd w:val="clear" w:color="auto" w:fill="FFFFFF"/>
        <w:rPr>
          <w:rFonts w:ascii="Roboto" w:eastAsia="Roboto" w:hAnsi="Roboto" w:cs="Roboto"/>
          <w:color w:val="000000"/>
          <w:sz w:val="27"/>
          <w:szCs w:val="27"/>
        </w:rPr>
      </w:pPr>
      <w:r>
        <w:rPr>
          <w:rFonts w:ascii="Roboto" w:eastAsia="Roboto" w:hAnsi="Roboto" w:cs="Roboto"/>
          <w:noProof/>
          <w:color w:val="000000"/>
          <w:sz w:val="27"/>
          <w:szCs w:val="27"/>
        </w:rPr>
        <w:drawing>
          <wp:inline distT="0" distB="0" distL="0" distR="0" wp14:anchorId="309531A5" wp14:editId="3DE42077">
            <wp:extent cx="2866488" cy="1911096"/>
            <wp:effectExtent l="0" t="0" r="0" b="0"/>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488" cy="1911096"/>
                    </a:xfrm>
                    <a:prstGeom prst="rect">
                      <a:avLst/>
                    </a:prstGeom>
                  </pic:spPr>
                </pic:pic>
              </a:graphicData>
            </a:graphic>
          </wp:inline>
        </w:drawing>
      </w:r>
      <w:r w:rsidR="00CE22E5">
        <w:rPr>
          <w:rFonts w:ascii="Roboto" w:eastAsia="Roboto" w:hAnsi="Roboto" w:cs="Roboto"/>
          <w:noProof/>
          <w:color w:val="000000"/>
          <w:sz w:val="27"/>
          <w:szCs w:val="27"/>
        </w:rPr>
        <w:t xml:space="preserve"> </w:t>
      </w:r>
      <w:r>
        <w:rPr>
          <w:rFonts w:ascii="Roboto" w:eastAsia="Roboto" w:hAnsi="Roboto" w:cs="Roboto"/>
          <w:noProof/>
          <w:color w:val="000000"/>
          <w:sz w:val="27"/>
          <w:szCs w:val="27"/>
        </w:rPr>
        <w:drawing>
          <wp:inline distT="0" distB="0" distL="0" distR="0" wp14:anchorId="22140DD4" wp14:editId="62084D21">
            <wp:extent cx="2866487" cy="1911096"/>
            <wp:effectExtent l="0" t="0" r="0" b="0"/>
            <wp:docPr id="3" name="Picture 3" descr="A picture containing tex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tan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6487" cy="1911096"/>
                    </a:xfrm>
                    <a:prstGeom prst="rect">
                      <a:avLst/>
                    </a:prstGeom>
                  </pic:spPr>
                </pic:pic>
              </a:graphicData>
            </a:graphic>
          </wp:inline>
        </w:drawing>
      </w:r>
    </w:p>
    <w:p w14:paraId="7906624A" w14:textId="77777777" w:rsidR="009457CE" w:rsidRDefault="00C923E5">
      <w:pPr>
        <w:spacing w:before="240" w:after="240"/>
        <w:rPr>
          <w:sz w:val="21"/>
          <w:szCs w:val="21"/>
        </w:rPr>
      </w:pPr>
      <w:r>
        <w:rPr>
          <w:sz w:val="21"/>
          <w:szCs w:val="21"/>
        </w:rPr>
        <w:t>The Qatar-TotalEnergies Playground, located in the outdoor National Museum of Qatar (</w:t>
      </w:r>
      <w:proofErr w:type="spellStart"/>
      <w:r>
        <w:rPr>
          <w:sz w:val="21"/>
          <w:szCs w:val="21"/>
        </w:rPr>
        <w:t>NMoQ</w:t>
      </w:r>
      <w:proofErr w:type="spellEnd"/>
      <w:r>
        <w:rPr>
          <w:sz w:val="21"/>
          <w:szCs w:val="21"/>
        </w:rPr>
        <w:t>) was inaugurated on December 4 by Her Excellency Sheikha Al-</w:t>
      </w:r>
      <w:proofErr w:type="spellStart"/>
      <w:r>
        <w:rPr>
          <w:sz w:val="21"/>
          <w:szCs w:val="21"/>
        </w:rPr>
        <w:t>Mayassa</w:t>
      </w:r>
      <w:proofErr w:type="spellEnd"/>
      <w:r>
        <w:rPr>
          <w:sz w:val="21"/>
          <w:szCs w:val="21"/>
        </w:rPr>
        <w:t xml:space="preserve"> </w:t>
      </w:r>
      <w:proofErr w:type="spellStart"/>
      <w:r>
        <w:rPr>
          <w:sz w:val="21"/>
          <w:szCs w:val="21"/>
        </w:rPr>
        <w:t>bint</w:t>
      </w:r>
      <w:proofErr w:type="spellEnd"/>
      <w:r>
        <w:rPr>
          <w:sz w:val="21"/>
          <w:szCs w:val="21"/>
        </w:rPr>
        <w:t xml:space="preserve"> Hamad bin Khalifa Al Thani, Chairperson of Qatar Museums and Patrick </w:t>
      </w:r>
      <w:proofErr w:type="spellStart"/>
      <w:r>
        <w:rPr>
          <w:sz w:val="21"/>
          <w:szCs w:val="21"/>
        </w:rPr>
        <w:t>Pouyanné</w:t>
      </w:r>
      <w:proofErr w:type="spellEnd"/>
      <w:r>
        <w:rPr>
          <w:sz w:val="21"/>
          <w:szCs w:val="21"/>
        </w:rPr>
        <w:t>, Chairman of th</w:t>
      </w:r>
      <w:r>
        <w:rPr>
          <w:sz w:val="21"/>
          <w:szCs w:val="21"/>
        </w:rPr>
        <w:t xml:space="preserve">e Board and Chief Executive Officer at TotalEnergies. It will provide a unique experience for families to explore and discover the story of energy in Qatar through meaningful play. </w:t>
      </w:r>
    </w:p>
    <w:p w14:paraId="04F5A04E" w14:textId="77777777" w:rsidR="009457CE" w:rsidRDefault="00C923E5">
      <w:pPr>
        <w:spacing w:before="240" w:after="240"/>
        <w:rPr>
          <w:sz w:val="21"/>
          <w:szCs w:val="21"/>
        </w:rPr>
      </w:pPr>
      <w:r>
        <w:rPr>
          <w:sz w:val="21"/>
          <w:szCs w:val="21"/>
        </w:rPr>
        <w:t xml:space="preserve">The playground is part of the partnership between TotalEnergies and Qatar </w:t>
      </w:r>
      <w:r>
        <w:rPr>
          <w:sz w:val="21"/>
          <w:szCs w:val="21"/>
        </w:rPr>
        <w:t xml:space="preserve">Museums and was designed by Taylor </w:t>
      </w:r>
      <w:proofErr w:type="spellStart"/>
      <w:r>
        <w:rPr>
          <w:sz w:val="21"/>
          <w:szCs w:val="21"/>
        </w:rPr>
        <w:t>Cullity</w:t>
      </w:r>
      <w:proofErr w:type="spellEnd"/>
      <w:r>
        <w:rPr>
          <w:sz w:val="21"/>
          <w:szCs w:val="21"/>
        </w:rPr>
        <w:t xml:space="preserve"> </w:t>
      </w:r>
      <w:proofErr w:type="spellStart"/>
      <w:r>
        <w:rPr>
          <w:sz w:val="21"/>
          <w:szCs w:val="21"/>
        </w:rPr>
        <w:t>Lethlean</w:t>
      </w:r>
      <w:proofErr w:type="spellEnd"/>
      <w:r>
        <w:rPr>
          <w:sz w:val="21"/>
          <w:szCs w:val="21"/>
        </w:rPr>
        <w:t xml:space="preserve"> (TCL) with the construction work carried out by </w:t>
      </w:r>
      <w:proofErr w:type="spellStart"/>
      <w:r>
        <w:rPr>
          <w:sz w:val="21"/>
          <w:szCs w:val="21"/>
        </w:rPr>
        <w:t>Ashghal</w:t>
      </w:r>
      <w:proofErr w:type="spellEnd"/>
      <w:r>
        <w:rPr>
          <w:sz w:val="21"/>
          <w:szCs w:val="21"/>
        </w:rPr>
        <w:t xml:space="preserve">. </w:t>
      </w:r>
    </w:p>
    <w:p w14:paraId="5E1387B5" w14:textId="77777777" w:rsidR="009457CE" w:rsidRDefault="00C923E5">
      <w:pPr>
        <w:spacing w:before="240" w:after="240"/>
        <w:rPr>
          <w:sz w:val="21"/>
          <w:szCs w:val="21"/>
        </w:rPr>
      </w:pPr>
      <w:r>
        <w:rPr>
          <w:sz w:val="21"/>
          <w:szCs w:val="21"/>
        </w:rPr>
        <w:t>It is designed to provide a fully immersive and educational experience in which visitors of all ages can learn about the various energies deployed</w:t>
      </w:r>
      <w:r>
        <w:rPr>
          <w:sz w:val="21"/>
          <w:szCs w:val="21"/>
        </w:rPr>
        <w:t xml:space="preserve"> in Qatar from the oil, gas and liquefied natural gas </w:t>
      </w:r>
      <w:r>
        <w:rPr>
          <w:sz w:val="21"/>
          <w:szCs w:val="21"/>
        </w:rPr>
        <w:lastRenderedPageBreak/>
        <w:t>to the renewable energies and electricity. Sustainability is also addressed through topics such as carbon capture, recycling of polymers and road safety.</w:t>
      </w:r>
    </w:p>
    <w:p w14:paraId="2E4A0D83" w14:textId="77777777" w:rsidR="009457CE" w:rsidRDefault="00C923E5">
      <w:pPr>
        <w:rPr>
          <w:color w:val="212121"/>
          <w:sz w:val="21"/>
          <w:szCs w:val="21"/>
        </w:rPr>
      </w:pPr>
      <w:r>
        <w:rPr>
          <w:color w:val="212121"/>
          <w:sz w:val="21"/>
          <w:szCs w:val="21"/>
          <w:highlight w:val="white"/>
        </w:rPr>
        <w:t xml:space="preserve">Her Excellency Sheikha Al </w:t>
      </w:r>
      <w:proofErr w:type="spellStart"/>
      <w:r>
        <w:rPr>
          <w:color w:val="212121"/>
          <w:sz w:val="21"/>
          <w:szCs w:val="21"/>
          <w:highlight w:val="white"/>
        </w:rPr>
        <w:t>Mayassa</w:t>
      </w:r>
      <w:proofErr w:type="spellEnd"/>
      <w:r>
        <w:rPr>
          <w:color w:val="212121"/>
          <w:sz w:val="21"/>
          <w:szCs w:val="21"/>
          <w:highlight w:val="white"/>
        </w:rPr>
        <w:t xml:space="preserve"> </w:t>
      </w:r>
      <w:proofErr w:type="spellStart"/>
      <w:r>
        <w:rPr>
          <w:color w:val="212121"/>
          <w:sz w:val="21"/>
          <w:szCs w:val="21"/>
          <w:highlight w:val="white"/>
        </w:rPr>
        <w:t>bint</w:t>
      </w:r>
      <w:proofErr w:type="spellEnd"/>
      <w:r>
        <w:rPr>
          <w:color w:val="212121"/>
          <w:sz w:val="21"/>
          <w:szCs w:val="21"/>
          <w:highlight w:val="white"/>
        </w:rPr>
        <w:t xml:space="preserve"> Hamad bin</w:t>
      </w:r>
      <w:r>
        <w:rPr>
          <w:color w:val="212121"/>
          <w:sz w:val="21"/>
          <w:szCs w:val="21"/>
          <w:highlight w:val="white"/>
        </w:rPr>
        <w:t xml:space="preserve"> Khalifa Al Thani, Chairperson of Qatar Museums, said:</w:t>
      </w:r>
      <w:r>
        <w:rPr>
          <w:color w:val="212121"/>
          <w:sz w:val="21"/>
          <w:szCs w:val="21"/>
        </w:rPr>
        <w:t> “</w:t>
      </w:r>
      <w:r w:rsidRPr="00CE22E5">
        <w:rPr>
          <w:b/>
          <w:i/>
          <w:color w:val="7098A7"/>
          <w:sz w:val="21"/>
          <w:szCs w:val="21"/>
        </w:rPr>
        <w:t xml:space="preserve">Qatar Museums has always been a key player in promoting education through creativity and play. In a playful ecosystem children learn through play making knowledge accessible through experience to all </w:t>
      </w:r>
      <w:r w:rsidRPr="00CE22E5">
        <w:rPr>
          <w:b/>
          <w:i/>
          <w:color w:val="7098A7"/>
          <w:sz w:val="21"/>
          <w:szCs w:val="21"/>
        </w:rPr>
        <w:t>age groups and backgrounds.  This is one of many playgrounds that we have developed across the country, and hope our communities and visitors enjoy them by connecting with family, friends, nature and being outdoors.  We are grateful for our partnership wit</w:t>
      </w:r>
      <w:r w:rsidRPr="00CE22E5">
        <w:rPr>
          <w:b/>
          <w:i/>
          <w:color w:val="7098A7"/>
          <w:sz w:val="21"/>
          <w:szCs w:val="21"/>
        </w:rPr>
        <w:t>h TotalEnergies, where we can engage with the wider community and visitors to showcase Qatar’s rich heritage and by default enhancing the quality of our lives</w:t>
      </w:r>
      <w:r>
        <w:rPr>
          <w:color w:val="212121"/>
          <w:sz w:val="21"/>
          <w:szCs w:val="21"/>
        </w:rPr>
        <w:t>.”</w:t>
      </w:r>
    </w:p>
    <w:p w14:paraId="69F51D80" w14:textId="77777777" w:rsidR="009457CE" w:rsidRDefault="009457CE">
      <w:pPr>
        <w:jc w:val="left"/>
        <w:rPr>
          <w:rFonts w:ascii="Times New Roman" w:eastAsia="Times New Roman" w:hAnsi="Times New Roman" w:cs="Times New Roman"/>
          <w:sz w:val="24"/>
          <w:szCs w:val="24"/>
        </w:rPr>
      </w:pPr>
    </w:p>
    <w:p w14:paraId="7B799934" w14:textId="77777777" w:rsidR="009457CE" w:rsidRDefault="00C923E5">
      <w:pPr>
        <w:spacing w:after="160" w:line="259" w:lineRule="auto"/>
        <w:rPr>
          <w:sz w:val="21"/>
          <w:szCs w:val="21"/>
        </w:rPr>
      </w:pPr>
      <w:r>
        <w:rPr>
          <w:b/>
          <w:i/>
          <w:color w:val="7098A7"/>
          <w:sz w:val="21"/>
          <w:szCs w:val="21"/>
        </w:rPr>
        <w:t>“TotalEnergies is thrilled about its partnership with Qatar Museums and in particular about th</w:t>
      </w:r>
      <w:r>
        <w:rPr>
          <w:b/>
          <w:i/>
          <w:color w:val="7098A7"/>
          <w:sz w:val="21"/>
          <w:szCs w:val="21"/>
        </w:rPr>
        <w:t>is unique project dedicated to our children, which harmoniously combines education and entertainment in such an iconic environment. Together with culture, energy is an important part of Qatar’s history; and this family-friendly playground is a successful c</w:t>
      </w:r>
      <w:r>
        <w:rPr>
          <w:b/>
          <w:i/>
          <w:color w:val="7098A7"/>
          <w:sz w:val="21"/>
          <w:szCs w:val="21"/>
        </w:rPr>
        <w:t>onnection between culture and energy”</w:t>
      </w:r>
      <w:r>
        <w:rPr>
          <w:sz w:val="21"/>
          <w:szCs w:val="21"/>
        </w:rPr>
        <w:t xml:space="preserve"> , said Patrick </w:t>
      </w:r>
      <w:proofErr w:type="spellStart"/>
      <w:r>
        <w:rPr>
          <w:sz w:val="21"/>
          <w:szCs w:val="21"/>
        </w:rPr>
        <w:t>Pouyanné</w:t>
      </w:r>
      <w:proofErr w:type="spellEnd"/>
      <w:r>
        <w:rPr>
          <w:sz w:val="21"/>
          <w:szCs w:val="21"/>
        </w:rPr>
        <w:t>, Chairman of the Board and Chief Executive Officer at TotalEnergies. He continued by saying</w:t>
      </w:r>
      <w:r>
        <w:rPr>
          <w:b/>
          <w:i/>
          <w:color w:val="7098A7"/>
          <w:sz w:val="21"/>
          <w:szCs w:val="21"/>
        </w:rPr>
        <w:t xml:space="preserve"> “TotalEnergies was enthusiastic to support Qatar Museums in the concept definition and the execution o</w:t>
      </w:r>
      <w:r>
        <w:rPr>
          <w:b/>
          <w:i/>
          <w:color w:val="7098A7"/>
          <w:sz w:val="21"/>
          <w:szCs w:val="21"/>
        </w:rPr>
        <w:t>f this multi-energy playground that also included green electricity and energy efficiency studies aiming at reducing its carbon footprint.”</w:t>
      </w:r>
    </w:p>
    <w:p w14:paraId="02F75AB4" w14:textId="77777777" w:rsidR="009457CE" w:rsidRDefault="00C923E5">
      <w:pPr>
        <w:spacing w:after="160" w:line="259" w:lineRule="auto"/>
        <w:rPr>
          <w:sz w:val="21"/>
          <w:szCs w:val="21"/>
        </w:rPr>
      </w:pPr>
      <w:r>
        <w:rPr>
          <w:sz w:val="21"/>
          <w:szCs w:val="21"/>
        </w:rPr>
        <w:t>The playground’s maze-like architecture includes 15 interactive playing pods, one per energy and a series of crawl tunnels in the form of oversized ‘pipes’ for children form pathways. The playground also contains a water play area and aims to create a sust</w:t>
      </w:r>
      <w:r>
        <w:rPr>
          <w:sz w:val="21"/>
          <w:szCs w:val="21"/>
        </w:rPr>
        <w:t xml:space="preserve">ainable outdoor environment that is stimulated by human energy.  Other features include dry mist fans arranged to provide more comfortable microclimates throughout the pods. </w:t>
      </w:r>
    </w:p>
    <w:p w14:paraId="665F53C6" w14:textId="77777777" w:rsidR="009457CE" w:rsidRDefault="00C923E5">
      <w:pPr>
        <w:spacing w:after="160" w:line="259" w:lineRule="auto"/>
        <w:rPr>
          <w:sz w:val="21"/>
          <w:szCs w:val="21"/>
        </w:rPr>
      </w:pPr>
      <w:r>
        <w:rPr>
          <w:sz w:val="21"/>
          <w:szCs w:val="21"/>
        </w:rPr>
        <w:t>Finally, the playground’s design is sustainable as it is partially powered by gre</w:t>
      </w:r>
      <w:r>
        <w:rPr>
          <w:sz w:val="21"/>
          <w:szCs w:val="21"/>
        </w:rPr>
        <w:t>en electricity from nearby installed solar panels.</w:t>
      </w:r>
    </w:p>
    <w:p w14:paraId="721DCF76" w14:textId="4CC6E859" w:rsidR="009457CE" w:rsidRDefault="005F5D68">
      <w:pPr>
        <w:spacing w:after="160" w:line="259" w:lineRule="auto"/>
        <w:rPr>
          <w:sz w:val="21"/>
          <w:szCs w:val="21"/>
        </w:rPr>
      </w:pPr>
      <w:r>
        <w:rPr>
          <w:noProof/>
          <w:sz w:val="21"/>
          <w:szCs w:val="21"/>
        </w:rPr>
        <w:drawing>
          <wp:inline distT="0" distB="0" distL="0" distR="0" wp14:anchorId="6FE834A3" wp14:editId="1D7E23CC">
            <wp:extent cx="164592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noProof/>
          <w:sz w:val="21"/>
          <w:szCs w:val="21"/>
        </w:rPr>
        <w:drawing>
          <wp:inline distT="0" distB="0" distL="0" distR="0" wp14:anchorId="05CC7241" wp14:editId="4F2CE7CC">
            <wp:extent cx="2468745" cy="164583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745" cy="1645830"/>
                    </a:xfrm>
                    <a:prstGeom prst="rect">
                      <a:avLst/>
                    </a:prstGeom>
                  </pic:spPr>
                </pic:pic>
              </a:graphicData>
            </a:graphic>
          </wp:inline>
        </w:drawing>
      </w:r>
      <w:r>
        <w:rPr>
          <w:noProof/>
          <w:sz w:val="21"/>
          <w:szCs w:val="21"/>
        </w:rPr>
        <w:drawing>
          <wp:inline distT="0" distB="0" distL="0" distR="0" wp14:anchorId="26DC8804" wp14:editId="7FA0B2E1">
            <wp:extent cx="1645920"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p w14:paraId="7CACCE5C" w14:textId="77777777" w:rsidR="009457CE" w:rsidRDefault="00C923E5">
      <w:pPr>
        <w:jc w:val="center"/>
        <w:rPr>
          <w:b/>
          <w:sz w:val="21"/>
          <w:szCs w:val="21"/>
        </w:rPr>
      </w:pPr>
      <w:r>
        <w:rPr>
          <w:i/>
          <w:sz w:val="18"/>
          <w:szCs w:val="18"/>
        </w:rPr>
        <w:t>***</w:t>
      </w:r>
    </w:p>
    <w:p w14:paraId="0C75A03A" w14:textId="77777777" w:rsidR="009457CE" w:rsidRDefault="00C923E5">
      <w:pPr>
        <w:rPr>
          <w:b/>
          <w:sz w:val="21"/>
          <w:szCs w:val="21"/>
        </w:rPr>
      </w:pPr>
      <w:r>
        <w:rPr>
          <w:b/>
          <w:sz w:val="21"/>
          <w:szCs w:val="21"/>
        </w:rPr>
        <w:t>About TotalEnergies in Qatar</w:t>
      </w:r>
    </w:p>
    <w:p w14:paraId="17908DD7" w14:textId="77777777" w:rsidR="009457CE" w:rsidRDefault="009457CE">
      <w:pPr>
        <w:rPr>
          <w:sz w:val="21"/>
          <w:szCs w:val="21"/>
        </w:rPr>
      </w:pPr>
      <w:bookmarkStart w:id="2" w:name="_heading=h.30j0zll" w:colFirst="0" w:colLast="0"/>
      <w:bookmarkEnd w:id="2"/>
    </w:p>
    <w:p w14:paraId="1F9E307F" w14:textId="77777777" w:rsidR="009457CE" w:rsidRDefault="00C923E5">
      <w:pPr>
        <w:rPr>
          <w:sz w:val="21"/>
          <w:szCs w:val="21"/>
        </w:rPr>
      </w:pPr>
      <w:r>
        <w:rPr>
          <w:sz w:val="21"/>
          <w:szCs w:val="21"/>
        </w:rPr>
        <w:t xml:space="preserve">In Qatar, TotalEnergies has been present since 1936, and is active in exploration and production, refining and petrochemicals, and marketing of lubricants, and renewable energies. TotalEnergies is the shareholder and sole operator of Al </w:t>
      </w:r>
      <w:proofErr w:type="spellStart"/>
      <w:r>
        <w:rPr>
          <w:sz w:val="21"/>
          <w:szCs w:val="21"/>
        </w:rPr>
        <w:t>Khalij</w:t>
      </w:r>
      <w:proofErr w:type="spellEnd"/>
      <w:r>
        <w:rPr>
          <w:sz w:val="21"/>
          <w:szCs w:val="21"/>
        </w:rPr>
        <w:t xml:space="preserve"> offshore oil</w:t>
      </w:r>
      <w:r>
        <w:rPr>
          <w:sz w:val="21"/>
          <w:szCs w:val="21"/>
        </w:rPr>
        <w:t xml:space="preserve">field, and a shareholder in North Oil Company, the operator of Al </w:t>
      </w:r>
      <w:proofErr w:type="spellStart"/>
      <w:r>
        <w:rPr>
          <w:sz w:val="21"/>
          <w:szCs w:val="21"/>
        </w:rPr>
        <w:t>Shaheen</w:t>
      </w:r>
      <w:proofErr w:type="spellEnd"/>
      <w:r>
        <w:rPr>
          <w:sz w:val="21"/>
          <w:szCs w:val="21"/>
        </w:rPr>
        <w:t xml:space="preserve"> offshore oilfield.</w:t>
      </w:r>
    </w:p>
    <w:p w14:paraId="12B7453E" w14:textId="77777777" w:rsidR="009457CE" w:rsidRDefault="009457CE">
      <w:pPr>
        <w:rPr>
          <w:sz w:val="21"/>
          <w:szCs w:val="21"/>
        </w:rPr>
      </w:pPr>
    </w:p>
    <w:p w14:paraId="1BE80B7B" w14:textId="77777777" w:rsidR="009457CE" w:rsidRDefault="00C923E5">
      <w:pPr>
        <w:rPr>
          <w:sz w:val="21"/>
          <w:szCs w:val="21"/>
        </w:rPr>
      </w:pPr>
      <w:r>
        <w:rPr>
          <w:sz w:val="21"/>
          <w:szCs w:val="21"/>
        </w:rPr>
        <w:t xml:space="preserve">TotalEnergies is also one of the founding partners of </w:t>
      </w:r>
      <w:proofErr w:type="spellStart"/>
      <w:r>
        <w:rPr>
          <w:sz w:val="21"/>
          <w:szCs w:val="21"/>
        </w:rPr>
        <w:t>Qatargas</w:t>
      </w:r>
      <w:proofErr w:type="spellEnd"/>
      <w:r>
        <w:rPr>
          <w:sz w:val="21"/>
          <w:szCs w:val="21"/>
        </w:rPr>
        <w:t xml:space="preserve"> and Dolphin Energy and holds a 16.7% and 24.5% interest in </w:t>
      </w:r>
      <w:proofErr w:type="spellStart"/>
      <w:r>
        <w:rPr>
          <w:sz w:val="21"/>
          <w:szCs w:val="21"/>
        </w:rPr>
        <w:t>Qatargas</w:t>
      </w:r>
      <w:proofErr w:type="spellEnd"/>
      <w:r>
        <w:rPr>
          <w:sz w:val="21"/>
          <w:szCs w:val="21"/>
        </w:rPr>
        <w:t xml:space="preserve"> 2 and Dolphin Energy respective</w:t>
      </w:r>
      <w:r>
        <w:rPr>
          <w:sz w:val="21"/>
          <w:szCs w:val="21"/>
        </w:rPr>
        <w:t xml:space="preserve">ly. The Company is also present in five downstream joint ventures : QAPCO, </w:t>
      </w:r>
      <w:proofErr w:type="spellStart"/>
      <w:r>
        <w:rPr>
          <w:sz w:val="21"/>
          <w:szCs w:val="21"/>
        </w:rPr>
        <w:t>Qatofin</w:t>
      </w:r>
      <w:proofErr w:type="spellEnd"/>
      <w:r>
        <w:rPr>
          <w:sz w:val="21"/>
          <w:szCs w:val="21"/>
        </w:rPr>
        <w:t xml:space="preserve">, RLOC and Laffan Refineries 1 &amp; 2. </w:t>
      </w:r>
    </w:p>
    <w:p w14:paraId="300D2AC0" w14:textId="77777777" w:rsidR="009457CE" w:rsidRDefault="009457CE">
      <w:pPr>
        <w:rPr>
          <w:sz w:val="21"/>
          <w:szCs w:val="21"/>
        </w:rPr>
      </w:pPr>
    </w:p>
    <w:p w14:paraId="042DE304" w14:textId="77777777" w:rsidR="009457CE" w:rsidRDefault="00C923E5">
      <w:pPr>
        <w:rPr>
          <w:sz w:val="21"/>
          <w:szCs w:val="21"/>
        </w:rPr>
      </w:pPr>
      <w:r>
        <w:rPr>
          <w:sz w:val="21"/>
          <w:szCs w:val="21"/>
        </w:rPr>
        <w:t>In 2022, TotalEnergies was awarded a 6.25% interest in the 32 million tons per annum (Mtpa) NFE project; followed by a 9.375% participat</w:t>
      </w:r>
      <w:r>
        <w:rPr>
          <w:sz w:val="21"/>
          <w:szCs w:val="21"/>
        </w:rPr>
        <w:t xml:space="preserve">ing interest in the 16 Mtpa North Field South (NFS) LNG project. It is also a partner in the Al </w:t>
      </w:r>
      <w:proofErr w:type="spellStart"/>
      <w:r>
        <w:rPr>
          <w:sz w:val="21"/>
          <w:szCs w:val="21"/>
        </w:rPr>
        <w:t>Kharsaah</w:t>
      </w:r>
      <w:proofErr w:type="spellEnd"/>
      <w:r>
        <w:rPr>
          <w:sz w:val="21"/>
          <w:szCs w:val="21"/>
        </w:rPr>
        <w:t xml:space="preserve"> Solar PV IPP Project, a 800 megawatt-peak (MWp) solar plant.</w:t>
      </w:r>
    </w:p>
    <w:p w14:paraId="6F6ACD11" w14:textId="77777777" w:rsidR="009457CE" w:rsidRDefault="009457CE">
      <w:pPr>
        <w:rPr>
          <w:sz w:val="21"/>
          <w:szCs w:val="21"/>
        </w:rPr>
      </w:pPr>
    </w:p>
    <w:p w14:paraId="6F4A035A" w14:textId="77777777" w:rsidR="009457CE" w:rsidRDefault="00C923E5">
      <w:pPr>
        <w:jc w:val="left"/>
        <w:rPr>
          <w:sz w:val="21"/>
          <w:szCs w:val="21"/>
        </w:rPr>
      </w:pPr>
      <w:r>
        <w:rPr>
          <w:noProof/>
          <w:sz w:val="21"/>
          <w:szCs w:val="21"/>
        </w:rPr>
        <w:drawing>
          <wp:inline distT="0" distB="0" distL="0" distR="0" wp14:anchorId="72A83956" wp14:editId="3AAC9CA4">
            <wp:extent cx="216000" cy="2160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6000" cy="216000"/>
                    </a:xfrm>
                    <a:prstGeom prst="rect">
                      <a:avLst/>
                    </a:prstGeom>
                    <a:ln/>
                  </pic:spPr>
                </pic:pic>
              </a:graphicData>
            </a:graphic>
          </wp:inline>
        </w:drawing>
      </w:r>
      <w:r>
        <w:rPr>
          <w:sz w:val="21"/>
          <w:szCs w:val="21"/>
        </w:rPr>
        <w:t xml:space="preserve"> </w:t>
      </w:r>
      <w:hyperlink r:id="rId14">
        <w:r>
          <w:rPr>
            <w:color w:val="285AFF"/>
            <w:sz w:val="21"/>
            <w:szCs w:val="21"/>
            <w:u w:val="single"/>
          </w:rPr>
          <w:t>@TotalEnergiesQA</w:t>
        </w:r>
      </w:hyperlink>
      <w:r>
        <w:rPr>
          <w:sz w:val="21"/>
          <w:szCs w:val="21"/>
        </w:rPr>
        <w:tab/>
      </w:r>
      <w:r>
        <w:rPr>
          <w:noProof/>
          <w:sz w:val="21"/>
          <w:szCs w:val="21"/>
        </w:rPr>
        <w:drawing>
          <wp:inline distT="0" distB="0" distL="0" distR="0" wp14:anchorId="0B0217EC" wp14:editId="6A5C7221">
            <wp:extent cx="215900" cy="2159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15900" cy="215900"/>
                    </a:xfrm>
                    <a:prstGeom prst="rect">
                      <a:avLst/>
                    </a:prstGeom>
                    <a:ln/>
                  </pic:spPr>
                </pic:pic>
              </a:graphicData>
            </a:graphic>
          </wp:inline>
        </w:drawing>
      </w:r>
      <w:r>
        <w:rPr>
          <w:sz w:val="21"/>
          <w:szCs w:val="21"/>
        </w:rPr>
        <w:t xml:space="preserve"> </w:t>
      </w:r>
      <w:hyperlink r:id="rId16">
        <w:proofErr w:type="spellStart"/>
        <w:r>
          <w:rPr>
            <w:color w:val="285AFF"/>
            <w:sz w:val="21"/>
            <w:szCs w:val="21"/>
            <w:u w:val="single"/>
          </w:rPr>
          <w:t>TotalEnergiesQatar</w:t>
        </w:r>
        <w:proofErr w:type="spellEnd"/>
      </w:hyperlink>
      <w:r>
        <w:rPr>
          <w:sz w:val="21"/>
          <w:szCs w:val="21"/>
        </w:rPr>
        <w:tab/>
      </w:r>
      <w:r>
        <w:rPr>
          <w:noProof/>
          <w:sz w:val="21"/>
          <w:szCs w:val="21"/>
        </w:rPr>
        <w:drawing>
          <wp:inline distT="0" distB="0" distL="0" distR="0" wp14:anchorId="77933B12" wp14:editId="664E0EA2">
            <wp:extent cx="216000" cy="2160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6000" cy="216000"/>
                    </a:xfrm>
                    <a:prstGeom prst="rect">
                      <a:avLst/>
                    </a:prstGeom>
                    <a:ln/>
                  </pic:spPr>
                </pic:pic>
              </a:graphicData>
            </a:graphic>
          </wp:inline>
        </w:drawing>
      </w:r>
      <w:r>
        <w:rPr>
          <w:sz w:val="21"/>
          <w:szCs w:val="21"/>
        </w:rPr>
        <w:t> </w:t>
      </w:r>
      <w:proofErr w:type="spellStart"/>
      <w:r>
        <w:fldChar w:fldCharType="begin"/>
      </w:r>
      <w:r>
        <w:instrText xml:space="preserve"> HYPERLINK "https://www.instagram.com/totalenergies_qa" \h </w:instrText>
      </w:r>
      <w:r>
        <w:fldChar w:fldCharType="separate"/>
      </w:r>
      <w:r>
        <w:rPr>
          <w:color w:val="285AFF"/>
          <w:sz w:val="21"/>
          <w:szCs w:val="21"/>
          <w:u w:val="single"/>
        </w:rPr>
        <w:t>TotalEnergies_QA</w:t>
      </w:r>
      <w:proofErr w:type="spellEnd"/>
      <w:r>
        <w:rPr>
          <w:color w:val="285AFF"/>
          <w:sz w:val="21"/>
          <w:szCs w:val="21"/>
          <w:u w:val="single"/>
        </w:rPr>
        <w:fldChar w:fldCharType="end"/>
      </w:r>
    </w:p>
    <w:p w14:paraId="056F8F68" w14:textId="77777777" w:rsidR="009457CE" w:rsidRDefault="009457CE">
      <w:pPr>
        <w:rPr>
          <w:sz w:val="21"/>
          <w:szCs w:val="21"/>
        </w:rPr>
      </w:pPr>
    </w:p>
    <w:p w14:paraId="23DD3810" w14:textId="77777777" w:rsidR="009457CE" w:rsidRDefault="009457CE">
      <w:pPr>
        <w:rPr>
          <w:b/>
          <w:sz w:val="21"/>
          <w:szCs w:val="21"/>
        </w:rPr>
      </w:pPr>
    </w:p>
    <w:p w14:paraId="78BC88E3" w14:textId="77777777" w:rsidR="009457CE" w:rsidRDefault="00C923E5">
      <w:pPr>
        <w:jc w:val="left"/>
        <w:rPr>
          <w:b/>
          <w:sz w:val="21"/>
          <w:szCs w:val="21"/>
        </w:rPr>
      </w:pPr>
      <w:r>
        <w:rPr>
          <w:b/>
          <w:sz w:val="21"/>
          <w:szCs w:val="21"/>
        </w:rPr>
        <w:t xml:space="preserve">About National Museum of Qatar </w:t>
      </w:r>
    </w:p>
    <w:p w14:paraId="73DC6CD0" w14:textId="77777777" w:rsidR="009457CE" w:rsidRDefault="009457CE">
      <w:pPr>
        <w:rPr>
          <w:b/>
          <w:sz w:val="21"/>
          <w:szCs w:val="21"/>
        </w:rPr>
      </w:pPr>
    </w:p>
    <w:p w14:paraId="6A476D9B" w14:textId="77777777" w:rsidR="009457CE" w:rsidRDefault="00C923E5">
      <w:pPr>
        <w:rPr>
          <w:sz w:val="21"/>
          <w:szCs w:val="21"/>
        </w:rPr>
      </w:pPr>
      <w:r>
        <w:rPr>
          <w:sz w:val="21"/>
          <w:szCs w:val="21"/>
        </w:rPr>
        <w:t>The National Museum of Qatar (</w:t>
      </w:r>
      <w:proofErr w:type="spellStart"/>
      <w:r>
        <w:rPr>
          <w:sz w:val="21"/>
          <w:szCs w:val="21"/>
        </w:rPr>
        <w:t>NMoQ</w:t>
      </w:r>
      <w:proofErr w:type="spellEnd"/>
      <w:r>
        <w:rPr>
          <w:sz w:val="21"/>
          <w:szCs w:val="21"/>
        </w:rPr>
        <w:t>) seeks to preserve and celebrate Qat</w:t>
      </w:r>
      <w:r>
        <w:rPr>
          <w:sz w:val="21"/>
          <w:szCs w:val="21"/>
        </w:rPr>
        <w:t>ar’s heritage and natural history, engage with its present, and inspire the country’s ambitions for the future. The museum, which opened in March 2019, gives voice to the country’s heritage and culture through commissioned films and artworks, storytelling,</w:t>
      </w:r>
      <w:r>
        <w:rPr>
          <w:sz w:val="21"/>
          <w:szCs w:val="21"/>
        </w:rPr>
        <w:t xml:space="preserve"> artefacts, and music, combining wide-ranging scholarship with oral histories of the people of Qatar. </w:t>
      </w:r>
      <w:proofErr w:type="spellStart"/>
      <w:r>
        <w:rPr>
          <w:sz w:val="21"/>
          <w:szCs w:val="21"/>
        </w:rPr>
        <w:t>NMoQ</w:t>
      </w:r>
      <w:proofErr w:type="spellEnd"/>
      <w:r>
        <w:rPr>
          <w:sz w:val="21"/>
          <w:szCs w:val="21"/>
        </w:rPr>
        <w:t xml:space="preserve"> is </w:t>
      </w:r>
      <w:proofErr w:type="spellStart"/>
      <w:r>
        <w:rPr>
          <w:sz w:val="21"/>
          <w:szCs w:val="21"/>
        </w:rPr>
        <w:t>organised</w:t>
      </w:r>
      <w:proofErr w:type="spellEnd"/>
      <w:r>
        <w:rPr>
          <w:sz w:val="21"/>
          <w:szCs w:val="21"/>
        </w:rPr>
        <w:t xml:space="preserve"> as a thematic and chronological sequence of galleries, which take the visitor on a 1.5-km journey through immersive, multisensory experi</w:t>
      </w:r>
      <w:r>
        <w:rPr>
          <w:sz w:val="21"/>
          <w:szCs w:val="21"/>
        </w:rPr>
        <w:t xml:space="preserve">ences that provide multiple perspectives. The iconic building, designed by Pritzker Prize-winning architect Jean </w:t>
      </w:r>
      <w:proofErr w:type="spellStart"/>
      <w:r>
        <w:rPr>
          <w:sz w:val="21"/>
          <w:szCs w:val="21"/>
        </w:rPr>
        <w:t>Nouvel</w:t>
      </w:r>
      <w:proofErr w:type="spellEnd"/>
      <w:r>
        <w:rPr>
          <w:sz w:val="21"/>
          <w:szCs w:val="21"/>
        </w:rPr>
        <w:t>, is based on the form of the desert rose and is composed of large interlocking disks of different diameters and curvatures that surround</w:t>
      </w:r>
      <w:r>
        <w:rPr>
          <w:sz w:val="21"/>
          <w:szCs w:val="21"/>
        </w:rPr>
        <w:t xml:space="preserve"> the restored historic Palace of Sheikh Abdullah bin Jassim Al Thani (1880-1957), son of the founder of modern Qatar. Sheikha Amna </w:t>
      </w:r>
      <w:proofErr w:type="spellStart"/>
      <w:r>
        <w:rPr>
          <w:sz w:val="21"/>
          <w:szCs w:val="21"/>
        </w:rPr>
        <w:t>bint</w:t>
      </w:r>
      <w:proofErr w:type="spellEnd"/>
      <w:r>
        <w:rPr>
          <w:sz w:val="21"/>
          <w:szCs w:val="21"/>
        </w:rPr>
        <w:t xml:space="preserve"> Abdulaziz bin Jassim Al-Thani has served as director of the museum since 2013.</w:t>
      </w:r>
    </w:p>
    <w:p w14:paraId="5144D1DD" w14:textId="77777777" w:rsidR="009457CE" w:rsidRDefault="009457CE">
      <w:pPr>
        <w:rPr>
          <w:b/>
          <w:sz w:val="21"/>
          <w:szCs w:val="21"/>
        </w:rPr>
      </w:pPr>
    </w:p>
    <w:p w14:paraId="5833DD1B" w14:textId="77777777" w:rsidR="009457CE" w:rsidRDefault="009457CE"/>
    <w:p w14:paraId="58B63C22" w14:textId="77777777" w:rsidR="009457CE" w:rsidRDefault="009457CE">
      <w:pPr>
        <w:jc w:val="left"/>
        <w:rPr>
          <w:b/>
        </w:rPr>
      </w:pPr>
    </w:p>
    <w:p w14:paraId="622DD0B2" w14:textId="77777777" w:rsidR="009457CE" w:rsidRDefault="009457CE">
      <w:pPr>
        <w:rPr>
          <w:sz w:val="21"/>
          <w:szCs w:val="21"/>
        </w:rPr>
      </w:pPr>
    </w:p>
    <w:p w14:paraId="12AC2F88" w14:textId="77777777" w:rsidR="009457CE" w:rsidRDefault="009457CE">
      <w:pPr>
        <w:spacing w:after="160" w:line="259" w:lineRule="auto"/>
        <w:rPr>
          <w:sz w:val="21"/>
          <w:szCs w:val="21"/>
        </w:rPr>
      </w:pPr>
    </w:p>
    <w:sectPr w:rsidR="009457CE">
      <w:headerReference w:type="first" r:id="rId18"/>
      <w:pgSz w:w="11906" w:h="16838"/>
      <w:pgMar w:top="993" w:right="1376" w:bottom="676"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2F2F6" w14:textId="77777777" w:rsidR="00C923E5" w:rsidRDefault="00C923E5">
      <w:r>
        <w:separator/>
      </w:r>
    </w:p>
  </w:endnote>
  <w:endnote w:type="continuationSeparator" w:id="0">
    <w:p w14:paraId="4C1414AE" w14:textId="77777777" w:rsidR="00C923E5" w:rsidRDefault="00C9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49D9D" w14:textId="77777777" w:rsidR="00C923E5" w:rsidRDefault="00C923E5">
      <w:r>
        <w:separator/>
      </w:r>
    </w:p>
  </w:footnote>
  <w:footnote w:type="continuationSeparator" w:id="0">
    <w:p w14:paraId="04845741" w14:textId="77777777" w:rsidR="00C923E5" w:rsidRDefault="00C92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E1C" w14:textId="77777777" w:rsidR="009457CE" w:rsidRDefault="009457CE">
    <w:pPr>
      <w:widowControl w:val="0"/>
      <w:pBdr>
        <w:top w:val="nil"/>
        <w:left w:val="nil"/>
        <w:bottom w:val="nil"/>
        <w:right w:val="nil"/>
        <w:between w:val="nil"/>
      </w:pBdr>
      <w:spacing w:line="276" w:lineRule="auto"/>
      <w:jc w:val="left"/>
      <w:rPr>
        <w:sz w:val="21"/>
        <w:szCs w:val="21"/>
      </w:rPr>
    </w:pPr>
  </w:p>
  <w:tbl>
    <w:tblPr>
      <w:tblStyle w:val="a"/>
      <w:tblW w:w="6026" w:type="dxa"/>
      <w:tblInd w:w="-5" w:type="dxa"/>
      <w:tblBorders>
        <w:top w:val="nil"/>
        <w:left w:val="nil"/>
        <w:bottom w:val="nil"/>
        <w:right w:val="nil"/>
        <w:insideH w:val="nil"/>
        <w:insideV w:val="single" w:sz="4" w:space="0" w:color="808080"/>
      </w:tblBorders>
      <w:tblLayout w:type="fixed"/>
      <w:tblLook w:val="0400" w:firstRow="0" w:lastRow="0" w:firstColumn="0" w:lastColumn="0" w:noHBand="0" w:noVBand="1"/>
    </w:tblPr>
    <w:tblGrid>
      <w:gridCol w:w="2016"/>
      <w:gridCol w:w="1804"/>
      <w:gridCol w:w="2206"/>
    </w:tblGrid>
    <w:tr w:rsidR="009457CE" w14:paraId="51EE376E" w14:textId="77777777">
      <w:trPr>
        <w:trHeight w:val="673"/>
      </w:trPr>
      <w:tc>
        <w:tcPr>
          <w:tcW w:w="2016" w:type="dxa"/>
          <w:vAlign w:val="center"/>
        </w:tcPr>
        <w:p w14:paraId="1BF5E173" w14:textId="77777777" w:rsidR="009457CE" w:rsidRDefault="00C923E5">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64067ACF" wp14:editId="67A24AA9">
                <wp:extent cx="1143000" cy="790575"/>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21813" t="29530" r="20929" b="30874"/>
                        <a:stretch>
                          <a:fillRect/>
                        </a:stretch>
                      </pic:blipFill>
                      <pic:spPr>
                        <a:xfrm>
                          <a:off x="0" y="0"/>
                          <a:ext cx="1143000" cy="790575"/>
                        </a:xfrm>
                        <a:prstGeom prst="rect">
                          <a:avLst/>
                        </a:prstGeom>
                        <a:ln/>
                      </pic:spPr>
                    </pic:pic>
                  </a:graphicData>
                </a:graphic>
              </wp:inline>
            </w:drawing>
          </w:r>
        </w:p>
      </w:tc>
      <w:tc>
        <w:tcPr>
          <w:tcW w:w="1804" w:type="dxa"/>
          <w:vAlign w:val="center"/>
        </w:tcPr>
        <w:p w14:paraId="42D6B41F" w14:textId="77777777" w:rsidR="009457CE" w:rsidRDefault="00C923E5">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58173213" wp14:editId="0CE8E656">
                <wp:extent cx="982481" cy="793900"/>
                <wp:effectExtent l="0" t="0" r="0" b="0"/>
                <wp:docPr id="19" name="image4.png" descr="home page | careers QM"/>
                <wp:cNvGraphicFramePr/>
                <a:graphic xmlns:a="http://schemas.openxmlformats.org/drawingml/2006/main">
                  <a:graphicData uri="http://schemas.openxmlformats.org/drawingml/2006/picture">
                    <pic:pic xmlns:pic="http://schemas.openxmlformats.org/drawingml/2006/picture">
                      <pic:nvPicPr>
                        <pic:cNvPr id="0" name="image4.png" descr="home page | careers QM"/>
                        <pic:cNvPicPr preferRelativeResize="0"/>
                      </pic:nvPicPr>
                      <pic:blipFill>
                        <a:blip r:embed="rId2"/>
                        <a:srcRect/>
                        <a:stretch>
                          <a:fillRect/>
                        </a:stretch>
                      </pic:blipFill>
                      <pic:spPr>
                        <a:xfrm>
                          <a:off x="0" y="0"/>
                          <a:ext cx="982481" cy="793900"/>
                        </a:xfrm>
                        <a:prstGeom prst="rect">
                          <a:avLst/>
                        </a:prstGeom>
                        <a:ln/>
                      </pic:spPr>
                    </pic:pic>
                  </a:graphicData>
                </a:graphic>
              </wp:inline>
            </w:drawing>
          </w:r>
        </w:p>
      </w:tc>
      <w:tc>
        <w:tcPr>
          <w:tcW w:w="2206" w:type="dxa"/>
          <w:vAlign w:val="center"/>
        </w:tcPr>
        <w:p w14:paraId="41C8DDB5" w14:textId="77777777" w:rsidR="009457CE" w:rsidRDefault="00C923E5">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5DD92624" wp14:editId="6E99160E">
                <wp:extent cx="1274347" cy="681975"/>
                <wp:effectExtent l="0" t="0" r="0" b="0"/>
                <wp:docPr id="14" name="image3.jpg" descr="National Museum of Qatar, Doha, Qatar — Google Arts &amp; Culture"/>
                <wp:cNvGraphicFramePr/>
                <a:graphic xmlns:a="http://schemas.openxmlformats.org/drawingml/2006/main">
                  <a:graphicData uri="http://schemas.openxmlformats.org/drawingml/2006/picture">
                    <pic:pic xmlns:pic="http://schemas.openxmlformats.org/drawingml/2006/picture">
                      <pic:nvPicPr>
                        <pic:cNvPr id="0" name="image3.jpg" descr="National Museum of Qatar, Doha, Qatar — Google Arts &amp; Culture"/>
                        <pic:cNvPicPr preferRelativeResize="0"/>
                      </pic:nvPicPr>
                      <pic:blipFill>
                        <a:blip r:embed="rId3"/>
                        <a:srcRect/>
                        <a:stretch>
                          <a:fillRect/>
                        </a:stretch>
                      </pic:blipFill>
                      <pic:spPr>
                        <a:xfrm>
                          <a:off x="0" y="0"/>
                          <a:ext cx="1274347" cy="681975"/>
                        </a:xfrm>
                        <a:prstGeom prst="rect">
                          <a:avLst/>
                        </a:prstGeom>
                        <a:ln/>
                      </pic:spPr>
                    </pic:pic>
                  </a:graphicData>
                </a:graphic>
              </wp:inline>
            </w:drawing>
          </w:r>
        </w:p>
      </w:tc>
    </w:tr>
  </w:tbl>
  <w:p w14:paraId="3AD14629" w14:textId="77777777" w:rsidR="009457CE" w:rsidRDefault="00C923E5" w:rsidP="00CE22E5">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01F01545" wp14:editId="726CA70B">
          <wp:simplePos x="0" y="0"/>
          <wp:positionH relativeFrom="column">
            <wp:posOffset>4050665</wp:posOffset>
          </wp:positionH>
          <wp:positionV relativeFrom="paragraph">
            <wp:posOffset>99060</wp:posOffset>
          </wp:positionV>
          <wp:extent cx="1706245" cy="21717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706245" cy="2171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7CE"/>
    <w:rsid w:val="00143882"/>
    <w:rsid w:val="00390246"/>
    <w:rsid w:val="00397CCB"/>
    <w:rsid w:val="005F5D68"/>
    <w:rsid w:val="009457CE"/>
    <w:rsid w:val="009A2FF1"/>
    <w:rsid w:val="00C923E5"/>
    <w:rsid w:val="00CE22E5"/>
    <w:rsid w:val="00D76E37"/>
    <w:rsid w:val="00E43A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121A6"/>
  <w15:docId w15:val="{1F7C7114-A47E-4F2F-AEFD-A69B21AC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5E"/>
  </w:style>
  <w:style w:type="paragraph" w:styleId="Heading1">
    <w:name w:val="heading 1"/>
    <w:aliases w:val="Titre CP"/>
    <w:basedOn w:val="Normal"/>
    <w:next w:val="Normal"/>
    <w:link w:val="Heading1Char"/>
    <w:uiPriority w:val="9"/>
    <w:qFormat/>
    <w:rsid w:val="000C0E7E"/>
    <w:pPr>
      <w:outlineLvl w:val="0"/>
    </w:pPr>
    <w:rPr>
      <w:b/>
      <w:bCs/>
      <w:sz w:val="28"/>
      <w:szCs w:val="28"/>
    </w:rPr>
  </w:style>
  <w:style w:type="paragraph" w:styleId="Heading2">
    <w:name w:val="heading 2"/>
    <w:aliases w:val="Corps CP"/>
    <w:basedOn w:val="Normal"/>
    <w:next w:val="Normal"/>
    <w:link w:val="Heading2Char"/>
    <w:uiPriority w:val="9"/>
    <w:semiHidden/>
    <w:unhideWhenUsed/>
    <w:qFormat/>
    <w:rsid w:val="006478EB"/>
    <w:pPr>
      <w:spacing w:before="60" w:after="60"/>
      <w:outlineLvl w:val="1"/>
    </w:pPr>
    <w:rPr>
      <w:bCs/>
    </w:rPr>
  </w:style>
  <w:style w:type="paragraph" w:styleId="Heading3">
    <w:name w:val="heading 3"/>
    <w:aliases w:val="Boiler CP"/>
    <w:basedOn w:val="Normal"/>
    <w:next w:val="Normal"/>
    <w:link w:val="Heading3Char"/>
    <w:uiPriority w:val="9"/>
    <w:semiHidden/>
    <w:unhideWhenUsed/>
    <w:qFormat/>
    <w:rsid w:val="006478EB"/>
    <w:pPr>
      <w:keepNext/>
      <w:keepLines/>
      <w:spacing w:before="40"/>
      <w:outlineLvl w:val="2"/>
    </w:pPr>
    <w:rPr>
      <w:rFonts w:eastAsiaTheme="majorEastAsia" w:cstheme="majorBidi"/>
      <w:sz w:val="18"/>
      <w:szCs w:val="24"/>
    </w:rPr>
  </w:style>
  <w:style w:type="paragraph" w:styleId="Heading4">
    <w:name w:val="heading 4"/>
    <w:basedOn w:val="Normal"/>
    <w:next w:val="Normal"/>
    <w:link w:val="Heading4Char"/>
    <w:uiPriority w:val="9"/>
    <w:semiHidden/>
    <w:unhideWhenUsed/>
    <w:qFormat/>
    <w:rsid w:val="00F874E6"/>
    <w:pPr>
      <w:keepNext/>
      <w:keepLines/>
      <w:spacing w:before="40"/>
      <w:outlineLvl w:val="3"/>
    </w:pPr>
    <w:rPr>
      <w:rFonts w:asciiTheme="majorHAnsi" w:eastAsiaTheme="majorEastAsia" w:hAnsiTheme="majorHAnsi" w:cstheme="majorBidi"/>
      <w:i/>
      <w:iCs/>
      <w:color w:val="BF0000"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97B71"/>
    <w:pPr>
      <w:tabs>
        <w:tab w:val="center" w:pos="4536"/>
        <w:tab w:val="right" w:pos="9072"/>
      </w:tabs>
    </w:pPr>
  </w:style>
  <w:style w:type="character" w:customStyle="1" w:styleId="HeaderChar">
    <w:name w:val="Header Char"/>
    <w:basedOn w:val="DefaultParagraphFont"/>
    <w:link w:val="Header"/>
    <w:uiPriority w:val="99"/>
    <w:rsid w:val="00597B71"/>
  </w:style>
  <w:style w:type="paragraph" w:styleId="Footer">
    <w:name w:val="footer"/>
    <w:basedOn w:val="Normal"/>
    <w:link w:val="FooterChar"/>
    <w:uiPriority w:val="99"/>
    <w:unhideWhenUsed/>
    <w:rsid w:val="00597B71"/>
    <w:pPr>
      <w:tabs>
        <w:tab w:val="center" w:pos="4536"/>
        <w:tab w:val="right" w:pos="9072"/>
      </w:tabs>
    </w:pPr>
  </w:style>
  <w:style w:type="character" w:customStyle="1" w:styleId="FooterChar">
    <w:name w:val="Footer Char"/>
    <w:basedOn w:val="DefaultParagraphFont"/>
    <w:link w:val="Footer"/>
    <w:uiPriority w:val="99"/>
    <w:rsid w:val="00597B71"/>
  </w:style>
  <w:style w:type="character" w:customStyle="1" w:styleId="Heading1Char">
    <w:name w:val="Heading 1 Char"/>
    <w:aliases w:val="Titre CP Char"/>
    <w:basedOn w:val="DefaultParagraphFont"/>
    <w:link w:val="Heading1"/>
    <w:uiPriority w:val="9"/>
    <w:rsid w:val="000C0E7E"/>
    <w:rPr>
      <w:b/>
      <w:bCs/>
      <w:sz w:val="28"/>
      <w:szCs w:val="28"/>
    </w:rPr>
  </w:style>
  <w:style w:type="character" w:customStyle="1" w:styleId="Heading2Char">
    <w:name w:val="Heading 2 Char"/>
    <w:aliases w:val="Corps CP Char"/>
    <w:basedOn w:val="DefaultParagraphFont"/>
    <w:link w:val="Heading2"/>
    <w:uiPriority w:val="9"/>
    <w:rsid w:val="006478EB"/>
    <w:rPr>
      <w:bCs/>
      <w:sz w:val="20"/>
      <w:szCs w:val="20"/>
    </w:rPr>
  </w:style>
  <w:style w:type="character" w:styleId="SubtleReference">
    <w:name w:val="Subtle Reference"/>
    <w:uiPriority w:val="31"/>
    <w:qFormat/>
    <w:rsid w:val="00F81D08"/>
    <w:rPr>
      <w:i/>
      <w:iCs/>
      <w:sz w:val="18"/>
      <w:szCs w:val="18"/>
    </w:rPr>
  </w:style>
  <w:style w:type="character" w:customStyle="1" w:styleId="Heading3Char">
    <w:name w:val="Heading 3 Char"/>
    <w:aliases w:val="Boiler CP Char"/>
    <w:basedOn w:val="DefaultParagraphFont"/>
    <w:link w:val="Heading3"/>
    <w:uiPriority w:val="9"/>
    <w:rsid w:val="006478EB"/>
    <w:rPr>
      <w:rFonts w:ascii="Arial" w:eastAsiaTheme="majorEastAsia" w:hAnsi="Arial" w:cstheme="majorBidi"/>
      <w:sz w:val="18"/>
    </w:rPr>
  </w:style>
  <w:style w:type="paragraph" w:styleId="ListParagraph">
    <w:name w:val="List Paragraph"/>
    <w:basedOn w:val="Normal"/>
    <w:uiPriority w:val="34"/>
    <w:qFormat/>
    <w:rsid w:val="00A73876"/>
    <w:pPr>
      <w:ind w:left="720"/>
      <w:contextualSpacing/>
    </w:pPr>
  </w:style>
  <w:style w:type="character" w:styleId="Hyperlink">
    <w:name w:val="Hyperlink"/>
    <w:basedOn w:val="DefaultParagraphFont"/>
    <w:uiPriority w:val="99"/>
    <w:unhideWhenUsed/>
    <w:rsid w:val="004B0B13"/>
    <w:rPr>
      <w:color w:val="28C895" w:themeColor="hyperlink"/>
      <w:u w:val="single"/>
    </w:rPr>
  </w:style>
  <w:style w:type="paragraph" w:styleId="BalloonText">
    <w:name w:val="Balloon Text"/>
    <w:basedOn w:val="Normal"/>
    <w:link w:val="BalloonTextChar"/>
    <w:uiPriority w:val="99"/>
    <w:semiHidden/>
    <w:unhideWhenUsed/>
    <w:rsid w:val="002068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8FD"/>
    <w:rPr>
      <w:rFonts w:ascii="Segoe UI" w:hAnsi="Segoe UI" w:cs="Segoe UI"/>
      <w:sz w:val="18"/>
      <w:szCs w:val="18"/>
    </w:rPr>
  </w:style>
  <w:style w:type="character" w:styleId="Strong">
    <w:name w:val="Strong"/>
    <w:basedOn w:val="DefaultParagraphFont"/>
    <w:uiPriority w:val="22"/>
    <w:qFormat/>
    <w:rsid w:val="00445190"/>
    <w:rPr>
      <w:b/>
      <w:bCs/>
    </w:rPr>
  </w:style>
  <w:style w:type="paragraph" w:styleId="NormalWeb">
    <w:name w:val="Normal (Web)"/>
    <w:basedOn w:val="Normal"/>
    <w:uiPriority w:val="99"/>
    <w:unhideWhenUsed/>
    <w:rsid w:val="000679D6"/>
    <w:pPr>
      <w:spacing w:before="100" w:beforeAutospacing="1" w:after="100" w:afterAutospacing="1"/>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BA2651"/>
    <w:rPr>
      <w:i/>
      <w:iCs/>
    </w:rPr>
  </w:style>
  <w:style w:type="character" w:styleId="CommentReference">
    <w:name w:val="annotation reference"/>
    <w:basedOn w:val="DefaultParagraphFont"/>
    <w:uiPriority w:val="99"/>
    <w:semiHidden/>
    <w:unhideWhenUsed/>
    <w:rsid w:val="00CC1E1A"/>
    <w:rPr>
      <w:sz w:val="16"/>
      <w:szCs w:val="16"/>
    </w:rPr>
  </w:style>
  <w:style w:type="paragraph" w:styleId="CommentText">
    <w:name w:val="annotation text"/>
    <w:basedOn w:val="Normal"/>
    <w:link w:val="CommentTextChar"/>
    <w:uiPriority w:val="99"/>
    <w:semiHidden/>
    <w:unhideWhenUsed/>
    <w:rsid w:val="00CC1E1A"/>
  </w:style>
  <w:style w:type="character" w:customStyle="1" w:styleId="CommentTextChar">
    <w:name w:val="Comment Text Char"/>
    <w:basedOn w:val="DefaultParagraphFont"/>
    <w:link w:val="CommentText"/>
    <w:uiPriority w:val="99"/>
    <w:semiHidden/>
    <w:rsid w:val="00CC1E1A"/>
    <w:rPr>
      <w:sz w:val="20"/>
      <w:szCs w:val="20"/>
    </w:rPr>
  </w:style>
  <w:style w:type="paragraph" w:styleId="CommentSubject">
    <w:name w:val="annotation subject"/>
    <w:basedOn w:val="CommentText"/>
    <w:next w:val="CommentText"/>
    <w:link w:val="CommentSubjectChar"/>
    <w:uiPriority w:val="99"/>
    <w:semiHidden/>
    <w:unhideWhenUsed/>
    <w:rsid w:val="00F943A4"/>
    <w:rPr>
      <w:b/>
      <w:bCs/>
    </w:rPr>
  </w:style>
  <w:style w:type="character" w:customStyle="1" w:styleId="CommentSubjectChar">
    <w:name w:val="Comment Subject Char"/>
    <w:basedOn w:val="CommentTextChar"/>
    <w:link w:val="CommentSubject"/>
    <w:uiPriority w:val="99"/>
    <w:semiHidden/>
    <w:rsid w:val="00F943A4"/>
    <w:rPr>
      <w:b/>
      <w:bCs/>
      <w:sz w:val="20"/>
      <w:szCs w:val="20"/>
    </w:rPr>
  </w:style>
  <w:style w:type="table" w:styleId="TableGrid">
    <w:name w:val="Table Grid"/>
    <w:basedOn w:val="TableNormal"/>
    <w:uiPriority w:val="39"/>
    <w:rsid w:val="000B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858"/>
  </w:style>
  <w:style w:type="character" w:customStyle="1" w:styleId="Heading4Char">
    <w:name w:val="Heading 4 Char"/>
    <w:basedOn w:val="DefaultParagraphFont"/>
    <w:link w:val="Heading4"/>
    <w:uiPriority w:val="9"/>
    <w:semiHidden/>
    <w:rsid w:val="00F874E6"/>
    <w:rPr>
      <w:rFonts w:asciiTheme="majorHAnsi" w:eastAsiaTheme="majorEastAsia" w:hAnsiTheme="majorHAnsi" w:cstheme="majorBidi"/>
      <w:i/>
      <w:iCs/>
      <w:color w:val="BF0000" w:themeColor="accent1" w:themeShade="BF"/>
      <w:sz w:val="20"/>
      <w:szCs w:val="20"/>
    </w:rPr>
  </w:style>
  <w:style w:type="paragraph" w:customStyle="1" w:styleId="rtejustify">
    <w:name w:val="rtejustify"/>
    <w:basedOn w:val="Normal"/>
    <w:rsid w:val="00F874E6"/>
    <w:pPr>
      <w:spacing w:before="100" w:beforeAutospacing="1" w:after="100" w:afterAutospacing="1"/>
      <w:jc w:val="left"/>
    </w:pPr>
    <w:rPr>
      <w:rFonts w:ascii="Times New Roman" w:eastAsia="Times New Roman" w:hAnsi="Times New Roman" w:cs="Times New Roman"/>
      <w:sz w:val="24"/>
      <w:szCs w:val="24"/>
    </w:rPr>
  </w:style>
  <w:style w:type="paragraph" w:customStyle="1" w:styleId="total-title-4">
    <w:name w:val="total-title-4"/>
    <w:basedOn w:val="Normal"/>
    <w:rsid w:val="00F874E6"/>
    <w:pPr>
      <w:spacing w:before="100" w:beforeAutospacing="1" w:after="100" w:afterAutospacing="1"/>
      <w:jc w:val="left"/>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facebook.com/TotalEnergiesQata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witter.com/TotalEnergiesQ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png"/><Relationship Id="rId1" Type="http://schemas.openxmlformats.org/officeDocument/2006/relationships/image" Target="media/image10.jpg"/><Relationship Id="rId4" Type="http://schemas.openxmlformats.org/officeDocument/2006/relationships/image" Target="media/image13.png"/></Relationships>
</file>

<file path=word/theme/theme1.xml><?xml version="1.0" encoding="utf-8"?>
<a:theme xmlns:a="http://schemas.openxmlformats.org/drawingml/2006/main" name="Thème Office">
  <a:themeElements>
    <a:clrScheme name="TotalEnergies 1">
      <a:dk1>
        <a:srgbClr val="000000"/>
      </a:dk1>
      <a:lt1>
        <a:srgbClr val="FFFFFF"/>
      </a:lt1>
      <a:dk2>
        <a:srgbClr val="000000"/>
      </a:dk2>
      <a:lt2>
        <a:srgbClr val="FFFFFF"/>
      </a:lt2>
      <a:accent1>
        <a:srgbClr val="FF0000"/>
      </a:accent1>
      <a:accent2>
        <a:srgbClr val="7098A7"/>
      </a:accent2>
      <a:accent3>
        <a:srgbClr val="2859FF"/>
      </a:accent3>
      <a:accent4>
        <a:srgbClr val="FFC800"/>
      </a:accent4>
      <a:accent5>
        <a:srgbClr val="95E500"/>
      </a:accent5>
      <a:accent6>
        <a:srgbClr val="009BFF"/>
      </a:accent6>
      <a:hlink>
        <a:srgbClr val="28C895"/>
      </a:hlink>
      <a:folHlink>
        <a:srgbClr val="95E5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Zvbzvgy/Wm/yKMjtr9c3ovF5Qw==">AMUW2mUCA22SPRVhEkMNBtFiJLDfflCD3vfwY7tzNvznxuZ79LJERX64YLIu5Ld67dIlH4C+R6f3ijug5uHkxnoF64CstvfA8bOiUKXercrqU3c2RfyLrOWzdSBi06ALnoBMCzALpMsj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Sherin SANTOS</dc:creator>
  <cp:lastModifiedBy>Sherin SANTOS</cp:lastModifiedBy>
  <cp:revision>2</cp:revision>
  <cp:lastPrinted>2022-12-04T17:46:00Z</cp:lastPrinted>
  <dcterms:created xsi:type="dcterms:W3CDTF">2022-12-06T07:22:00Z</dcterms:created>
  <dcterms:modified xsi:type="dcterms:W3CDTF">2022-12-06T07:22:00Z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593b6e-8994-43c5-a486-e951b5f02cec_Enabled">
    <vt:lpwstr>true</vt:lpwstr>
  </property>
  <property fmtid="{D5CDD505-2E9C-101B-9397-08002B2CF9AE}" pid="3" name="MSIP_Label_a4593b6e-8994-43c5-a486-e951b5f02cec_SetDate">
    <vt:lpwstr>2021-05-28T07:21:21Z</vt:lpwstr>
  </property>
  <property fmtid="{D5CDD505-2E9C-101B-9397-08002B2CF9AE}" pid="4" name="MSIP_Label_a4593b6e-8994-43c5-a486-e951b5f02cec_Method">
    <vt:lpwstr>Privileged</vt:lpwstr>
  </property>
  <property fmtid="{D5CDD505-2E9C-101B-9397-08002B2CF9AE}" pid="5" name="MSIP_Label_a4593b6e-8994-43c5-a486-e951b5f02cec_Name">
    <vt:lpwstr>a4593b6e-8994-43c5-a486-e951b5f02cec</vt:lpwstr>
  </property>
  <property fmtid="{D5CDD505-2E9C-101B-9397-08002B2CF9AE}" pid="6" name="MSIP_Label_a4593b6e-8994-43c5-a486-e951b5f02cec_SiteId">
    <vt:lpwstr>329e91b0-e21f-48fb-a071-456717ecc28e</vt:lpwstr>
  </property>
  <property fmtid="{D5CDD505-2E9C-101B-9397-08002B2CF9AE}" pid="7" name="MSIP_Label_a4593b6e-8994-43c5-a486-e951b5f02cec_ActionId">
    <vt:lpwstr>666c5448-77e4-4374-9ad7-59b719076700</vt:lpwstr>
  </property>
  <property fmtid="{D5CDD505-2E9C-101B-9397-08002B2CF9AE}" pid="8" name="MSIP_Label_a4593b6e-8994-43c5-a486-e951b5f02cec_ContentBits">
    <vt:lpwstr>0</vt:lpwstr>
  </property>
  <property fmtid="{D5CDD505-2E9C-101B-9397-08002B2CF9AE}" pid="9" name="ContentTypeId">
    <vt:lpwstr>0x010100BF59229685350546BFA3DE9A0E9EA1EC</vt:lpwstr>
  </property>
  <property fmtid="{D5CDD505-2E9C-101B-9397-08002B2CF9AE}" pid="10" name="GrammarlyDocumentId">
    <vt:lpwstr>4ce1c5cb015685538035b2f59476b9978d4c874e58a781b592a59c576bfd24c1</vt:lpwstr>
  </property>
</Properties>
</file>