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United Nations Secretary General Visits National Museum of Qatar </w:t>
      </w:r>
    </w:p>
    <w:p w:rsidR="00000000" w:rsidDel="00000000" w:rsidP="00000000" w:rsidRDefault="00000000" w:rsidRPr="00000000" w14:paraId="00000003">
      <w:pPr>
        <w:rPr>
          <w:rFonts w:ascii="Avenir" w:cs="Avenir" w:eastAsia="Avenir" w:hAnsi="Avenir"/>
        </w:rPr>
      </w:pPr>
      <w:bookmarkStart w:colFirst="0" w:colLast="0" w:name="_heading=h.gjdgxs" w:id="0"/>
      <w:bookmarkEnd w:id="0"/>
      <w:r w:rsidDel="00000000" w:rsidR="00000000" w:rsidRPr="00000000">
        <w:rPr>
          <w:rFonts w:ascii="Avenir" w:cs="Avenir" w:eastAsia="Avenir" w:hAnsi="Avenir"/>
          <w:b w:val="1"/>
          <w:rtl w:val="0"/>
        </w:rPr>
        <w:t xml:space="preserve">Doha, 21 November 2022 — </w:t>
      </w:r>
      <w:r w:rsidDel="00000000" w:rsidR="00000000" w:rsidRPr="00000000">
        <w:rPr>
          <w:rFonts w:ascii="Avenir" w:cs="Avenir" w:eastAsia="Avenir" w:hAnsi="Avenir"/>
          <w:rtl w:val="0"/>
        </w:rPr>
        <w:t xml:space="preserve">Ahead of the official opening of the FIFA World Cup Qatar 2022, the United Nations Secretary-General His Excellency António Guterres yesterday visited the National Museum of Qatar (NMoQ). During his visit, His Excellency Guterres was given a guided tour of NMoQ's galleries and the museum's masterpiece objects. </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jc w:val="center"/>
        <w:rPr>
          <w:rFonts w:ascii="Avenir" w:cs="Avenir" w:eastAsia="Avenir" w:hAnsi="Avenir"/>
          <w:b w:val="1"/>
        </w:rPr>
      </w:pPr>
      <w:r w:rsidDel="00000000" w:rsidR="00000000" w:rsidRPr="00000000">
        <w:rPr>
          <w:rFonts w:ascii="Avenir" w:cs="Avenir" w:eastAsia="Avenir" w:hAnsi="Avenir"/>
          <w:b w:val="1"/>
          <w:rtl w:val="0"/>
        </w:rPr>
        <w:t xml:space="preserve">ENDS</w:t>
      </w:r>
    </w:p>
    <w:p w:rsidR="00000000" w:rsidDel="00000000" w:rsidP="00000000" w:rsidRDefault="00000000" w:rsidRPr="00000000" w14:paraId="00000006">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07">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08">
      <w:pPr>
        <w:ind w:right="43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About Qatar Museums</w:t>
        <w:br w:type="textWrapping"/>
      </w:r>
      <w:r w:rsidDel="00000000" w:rsidR="00000000" w:rsidRPr="00000000">
        <w:rPr>
          <w:rFonts w:ascii="Avenir" w:cs="Avenir" w:eastAsia="Avenir" w:hAnsi="Avenir"/>
          <w:sz w:val="20"/>
          <w:szCs w:val="20"/>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09">
      <w:pPr>
        <w:ind w:right="430"/>
        <w:rPr>
          <w:rFonts w:ascii="Avenir" w:cs="Avenir" w:eastAsia="Avenir" w:hAnsi="Avenir"/>
          <w:sz w:val="20"/>
          <w:szCs w:val="20"/>
        </w:rPr>
      </w:pPr>
      <w:r w:rsidDel="00000000" w:rsidR="00000000" w:rsidRPr="00000000">
        <w:rPr>
          <w:rFonts w:ascii="Avenir" w:cs="Avenir" w:eastAsia="Avenir" w:hAnsi="Avenir"/>
          <w:sz w:val="20"/>
          <w:szCs w:val="20"/>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3-2-1 Qatar Olympic and Sports Museum, and Dadu, Children's Museum of Qatar.  </w:t>
      </w:r>
    </w:p>
    <w:p w:rsidR="00000000" w:rsidDel="00000000" w:rsidP="00000000" w:rsidRDefault="00000000" w:rsidRPr="00000000" w14:paraId="0000000A">
      <w:pPr>
        <w:ind w:right="430"/>
        <w:rPr>
          <w:rFonts w:ascii="Avenir" w:cs="Avenir" w:eastAsia="Avenir" w:hAnsi="Avenir"/>
          <w:sz w:val="20"/>
          <w:szCs w:val="20"/>
        </w:rPr>
      </w:pPr>
      <w:r w:rsidDel="00000000" w:rsidR="00000000" w:rsidRPr="00000000">
        <w:rPr>
          <w:rFonts w:ascii="Avenir" w:cs="Avenir" w:eastAsia="Avenir" w:hAnsi="Avenir"/>
          <w:sz w:val="20"/>
          <w:szCs w:val="20"/>
          <w:rtl w:val="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w:t>
      </w:r>
    </w:p>
    <w:p w:rsidR="00000000" w:rsidDel="00000000" w:rsidP="00000000" w:rsidRDefault="00000000" w:rsidRPr="00000000" w14:paraId="0000000B">
      <w:pPr>
        <w:ind w:right="430"/>
        <w:rPr>
          <w:rFonts w:ascii="Avenir" w:cs="Avenir" w:eastAsia="Avenir" w:hAnsi="Avenir"/>
          <w:sz w:val="20"/>
          <w:szCs w:val="20"/>
        </w:rPr>
      </w:pPr>
      <w:bookmarkStart w:colFirst="0" w:colLast="0" w:name="_heading=h.30j0zll" w:id="1"/>
      <w:bookmarkEnd w:id="1"/>
      <w:r w:rsidDel="00000000" w:rsidR="00000000" w:rsidRPr="00000000">
        <w:rPr>
          <w:rFonts w:ascii="Avenir" w:cs="Avenir" w:eastAsia="Avenir" w:hAnsi="Avenir"/>
          <w:sz w:val="20"/>
          <w:szCs w:val="20"/>
          <w:rtl w:val="0"/>
        </w:rPr>
        <w:t xml:space="preserve">Animating everything that Qatar Museums does is an authentic connection to Qatar and its heritage, a steadfast commitment to inclusivity and accessibility, and a belief in creating value through invention. </w:t>
      </w:r>
    </w:p>
    <w:p w:rsidR="00000000" w:rsidDel="00000000" w:rsidP="00000000" w:rsidRDefault="00000000" w:rsidRPr="00000000" w14:paraId="0000000C">
      <w:pPr>
        <w:ind w:right="43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D">
      <w:pPr>
        <w:ind w:right="430"/>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0E">
      <w:pPr>
        <w:jc w:val="center"/>
        <w:rPr>
          <w:b w:val="1"/>
          <w:sz w:val="32"/>
          <w:szCs w:val="32"/>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drawing>
        <wp:inline distB="0" distT="0" distL="0" distR="0">
          <wp:extent cx="1009650" cy="831850"/>
          <wp:effectExtent b="0" l="0" r="0" t="0"/>
          <wp:docPr descr="Qatar Museums Logo" id="5" name="image1.png"/>
          <a:graphic>
            <a:graphicData uri="http://schemas.openxmlformats.org/drawingml/2006/picture">
              <pic:pic>
                <pic:nvPicPr>
                  <pic:cNvPr descr="Qatar Museums Logo" id="0" name="image1.png"/>
                  <pic:cNvPicPr preferRelativeResize="0"/>
                </pic:nvPicPr>
                <pic:blipFill>
                  <a:blip r:embed="rId1"/>
                  <a:srcRect b="0" l="0" r="0" t="0"/>
                  <a:stretch>
                    <a:fillRect/>
                  </a:stretch>
                </pic:blipFill>
                <pic:spPr>
                  <a:xfrm>
                    <a:off x="0" y="0"/>
                    <a:ext cx="1009650" cy="83185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8483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84835"/>
    <w:rPr>
      <w:rFonts w:ascii="Segoe UI" w:cs="Segoe UI" w:hAnsi="Segoe UI"/>
      <w:sz w:val="18"/>
      <w:szCs w:val="18"/>
      <w:lang w:val="en-GB"/>
    </w:rPr>
  </w:style>
  <w:style w:type="paragraph" w:styleId="Header">
    <w:name w:val="header"/>
    <w:basedOn w:val="Normal"/>
    <w:link w:val="HeaderChar"/>
    <w:uiPriority w:val="99"/>
    <w:unhideWhenUsed w:val="1"/>
    <w:rsid w:val="00D8483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84835"/>
    <w:rPr>
      <w:lang w:val="en-GB"/>
    </w:rPr>
  </w:style>
  <w:style w:type="paragraph" w:styleId="Footer">
    <w:name w:val="footer"/>
    <w:basedOn w:val="Normal"/>
    <w:link w:val="FooterChar"/>
    <w:uiPriority w:val="99"/>
    <w:unhideWhenUsed w:val="1"/>
    <w:rsid w:val="00D8483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4835"/>
    <w:rPr>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7g+tXIIEWeotL+f7wMXibBnYSg==">AMUW2mWW6Nr/zDVzUTSxpFSdNuxnzV2tvAxLtylT/FBDuogSpVLREOavM3ittGyTHbNL0ZSF67akeIvPtQRIcN6lgKJe6F4Lr8mh8PkW1O8zBpewxA1u/eB9z6Q+2V6u1iM/khPXwc3K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2022-11-21T08:29:00Z</dcterms:created>
  <dc:creator>Kerry Ann Henrico</dc:creator>
</cp:coreProperties>
</file>