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bookmarkStart w:colFirst="0" w:colLast="0" w:name="_heading=h.1fob9te" w:id="0"/>
      <w:bookmarkEnd w:id="0"/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صاحبة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موزا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تفتح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يقام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ـــــــ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2022</w:t>
      </w:r>
    </w:p>
    <w:p w:rsidR="00000000" w:rsidDel="00000000" w:rsidP="00000000" w:rsidRDefault="00000000" w:rsidRPr="00000000" w14:paraId="00000003">
      <w:pPr>
        <w:bidi w:val="1"/>
        <w:spacing w:after="240" w:lineRule="auto"/>
        <w:jc w:val="both"/>
        <w:rPr>
          <w:rFonts w:ascii="Sakkal Majalla" w:cs="Sakkal Majalla" w:eastAsia="Sakkal Majalla" w:hAnsi="Sakkal Majalla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z w:val="28"/>
          <w:szCs w:val="28"/>
          <w:rtl w:val="1"/>
        </w:rPr>
        <w:t xml:space="preserve">25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افتتحت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صاحبة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موزا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ناصر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قر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العين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after="240" w:lineRule="auto"/>
        <w:jc w:val="both"/>
        <w:rPr>
          <w:rFonts w:ascii="Sakkal Majalla" w:cs="Sakkal Majalla" w:eastAsia="Sakkal Majalla" w:hAnsi="Sakkal Majalla"/>
          <w:i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يقام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قاعة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المؤقتة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25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فبراير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2023،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يستكشف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الأهمية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حظيت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ظل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الخلافة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العباسية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(750-1258)،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ويحتفي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بتأثيرها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البالغ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يومنا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قرة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العين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يسل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كمركز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سياسي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واقتصادي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وفكري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ازدهر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إحدى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الفترات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نى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بالابتكار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ويأتي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سنوي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للتبادل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وتعمل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بدع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بالأنشطة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والاحتفاء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والترويج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مدار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الفكري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العظيم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استقطبت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والفلاسفة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ويوثق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قدرتها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الهائلة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جراح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الحروب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والعنف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والدمار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صمودها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تختزنه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ذكريات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تراثها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العباسي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ويتولى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جوليا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غونيلا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وفريق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ويضم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سيمون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ستروث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شخاب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والدكتورة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ديجاردان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ونيكوليتا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فازبو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ويرافق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إصدار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كتالوج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بالكامل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مساهمات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لباحثين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دوليين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بارزين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جوليا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غونيلا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يحتفل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بإعادة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افتتاحه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مؤخر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حلته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الرائعة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قدمت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إسهامات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والعلوم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والدراسات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الفكرية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ندعو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وزوارها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الوافدين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لحضور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نهائيات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لزيارة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لمعرفة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المزيد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النظر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يعرفونه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ويفهمونه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الخلابة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وتاريخها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8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يستذكر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لعبته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العشرين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الخصوص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الممتدة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الأربعينيات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والسبعينيات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شهدت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لصورتها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مزدهر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ونابض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160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المستعارة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مكتبة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الفاتيكان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الرسولية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الفاتيكان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باريس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متروبوليتان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نيويورك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بوسطن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برلين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المكتبة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الحكومية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برلين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ومكتبة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بافاريا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ميونيخ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ديفيد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كوبنهاغن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بيناكي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أثينا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بارجيل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الشارقة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العزاوي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لندن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والمكتبة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البريطانية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لندن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ومكتبة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تشيستر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دبلن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الآسر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سينوغرافية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لنهر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دجلة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أرضية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لخلق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رابط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بالتزامن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بعنوان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السراب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1952-1982"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الطابق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الرابع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والتصاميم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لـ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ِ 11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مهندس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معماري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فرانك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رايت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كوربوزييه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ووالتر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غروبيوس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وجوزيب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سيرت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وألفار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وأينو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آلتو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وروبرت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فنتوري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زميل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المعهد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الأمريكي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للمهندسين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يتولى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بروفيسور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بيدرو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أزارا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التقييم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نظمته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بعثة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كتالونيا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ببرشلونة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وأصبح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بعدها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متنقل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أقيم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الولايات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نيويورك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بوسطن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معهد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ماساتشوستس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للتكنولوجيا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وبغداد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مارس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2023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راكو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كيتشيزيمون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الخامس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جيكينيو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الخزف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الياباني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التقليدي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معروضاته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طقم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شاي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للمراسم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الاحتفالية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وشعبها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كتبت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شعر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ويأتي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أعقاب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البديع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حلته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للجمهور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مشروع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المرافق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وتركيب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الدائمة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الرائدة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ويمنح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ضيوفه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تفاعلية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وتعليمية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سهلة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ألف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مقتناة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ومحفوظة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الدائمة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جانب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اشتهر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# # #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2008،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أطلقتها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صممه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المهندس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الصيني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مستوحى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الخطوط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المعمارية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يحظى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بإطلالة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بانورامية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الواجهة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لمدينة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يرتفع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شامخا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محتويات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يمتد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1400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وتتنوع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المحتويات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المخطوطات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الخزفية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والمعدنية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والزجاجية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والخشبية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والأحجار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مقتنيات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تنتمي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لثلاث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وتشمل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لإسبانيا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المقتنيات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للفترة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الممتدة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الميلادي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ويتسم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للمعارض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بتنوعه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وتجدده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تعليمية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والعائلات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اكتسب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ويجذب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آلاف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الزوار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جوليا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غونيلا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2017. 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ومهرجان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للتصوير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الفوتوغرافي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وتشمل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المستقبلية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3-2-1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افتتاحه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قريب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المبادرات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للحفاظ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المواقع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والمباني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وترميمها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لمزيد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يرجى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https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://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qm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qa</w:t>
      </w:r>
    </w:p>
    <w:p w:rsidR="00000000" w:rsidDel="00000000" w:rsidP="00000000" w:rsidRDefault="00000000" w:rsidRPr="00000000" w14:paraId="00000014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تعتبر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إحدى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الأدوات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فعالية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التقريب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وتشجيع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وتعميق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قيادة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طورت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" 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سنوي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للتبادل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الرسمية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تستغرق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سوى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فغالب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أواصر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الصداقة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طويل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واحتفال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بالذكرى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السنوية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العاشرة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تدخل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شراكة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وسيضم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الـ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26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لديها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بالدوحة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والجزائر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وبنغلاديش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والبحرين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وبوتان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ومصر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والهند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والعراق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وإيران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والأردن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والكويت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ولبنان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وليبيا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وجزر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المالديف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والمغرب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ونيبال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وباكستان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وفلسطين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والمملكة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والسودان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وسريلانكا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وتركيا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وتونس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والإمارات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واليمن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التخطيط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الرائدة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فوق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الجميع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والحي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التجارة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والصناعة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الخيرية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والاتحاد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لكرة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ومكتبة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والمجلس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للسياحة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الأولمبية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والإرث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بمساعدة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16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بدعم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الخطوط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الجوية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16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شملت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اليابان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2012،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2013،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البرازيل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2014،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2015،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الصين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2016،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ألمانيا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2017،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روسيا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2018،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الهند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2019،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2020،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أمريكا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 2021. </w:t>
      </w:r>
    </w:p>
    <w:p w:rsidR="00000000" w:rsidDel="00000000" w:rsidP="00000000" w:rsidRDefault="00000000" w:rsidRPr="00000000" w14:paraId="0000001B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وتضم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السابقين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فودافون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غاز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وشل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وأريد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فنادق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ومنتجعات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شانغري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لولو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للبترول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وإكسون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موبيل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تابعوا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وأشيروا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لحسابات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, #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 #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56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E">
      <w:pPr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تعمل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بالأنشطة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والاحتفاء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والترويج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وتسعى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تعاونها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الشركاء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قطاعات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والأفلام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والضيافة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والتراث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والقطاع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لإعلاء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وربط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بالفعاليات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والأنشطة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240" w:line="250" w:lineRule="auto"/>
        <w:ind w:right="90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للتواصل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الإعلامي</w:t>
      </w:r>
    </w:p>
    <w:p w:rsidR="00000000" w:rsidDel="00000000" w:rsidP="00000000" w:rsidRDefault="00000000" w:rsidRPr="00000000" w14:paraId="00000021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خميس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مفتاح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28"/>
            <w:szCs w:val="28"/>
            <w:rtl w:val="0"/>
          </w:rPr>
          <w:t xml:space="preserve">mfaraj@qm.org.qa</w:t>
        </w:r>
      </w:hyperlink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  (      (+974 4402 8544</w:t>
      </w:r>
    </w:p>
    <w:p w:rsidR="00000000" w:rsidDel="00000000" w:rsidP="00000000" w:rsidRDefault="00000000" w:rsidRPr="00000000" w14:paraId="00000022">
      <w:pPr>
        <w:bidi w:val="1"/>
        <w:spacing w:after="240" w:line="276" w:lineRule="auto"/>
        <w:ind w:right="86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akkal Majall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9015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ind w:left="-115" w:firstLine="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Avenir" w:cs="Avenir" w:eastAsia="Avenir" w:hAnsi="Avenir"/>
        <w:color w:val="000000"/>
        <w:sz w:val="20"/>
        <w:szCs w:val="20"/>
      </w:rPr>
    </w:pPr>
    <w:r w:rsidDel="00000000" w:rsidR="00000000" w:rsidRPr="00000000">
      <w:rPr>
        <w:rFonts w:ascii="Avenir" w:cs="Avenir" w:eastAsia="Avenir" w:hAnsi="Avenir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Avenir" w:cs="Avenir" w:eastAsia="Avenir" w:hAnsi="Avenir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930000" cy="1080000"/>
          <wp:effectExtent b="0" l="0" r="0" t="0"/>
          <wp:docPr descr="logo4" id="5" name="image1.png"/>
          <a:graphic>
            <a:graphicData uri="http://schemas.openxmlformats.org/drawingml/2006/picture">
              <pic:pic>
                <pic:nvPicPr>
                  <pic:cNvPr descr="logo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000" cy="10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rsid w:val="00FD66E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FD66E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FD66E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FD66E7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FD66E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FD66E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04EE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04EE5"/>
    <w:rPr>
      <w:b w:val="1"/>
      <w:bCs w:val="1"/>
      <w:sz w:val="20"/>
      <w:szCs w:val="20"/>
    </w:rPr>
  </w:style>
  <w:style w:type="paragraph" w:styleId="xmsonormal" w:customStyle="1">
    <w:name w:val="x_msonormal"/>
    <w:basedOn w:val="Normal"/>
    <w:rsid w:val="00177BF7"/>
    <w:rPr>
      <w:rFonts w:ascii="Calibri" w:cs="Calibri" w:hAnsi="Calibri" w:eastAsia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879E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879E7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FD66E7"/>
  </w:style>
  <w:style w:type="paragraph" w:styleId="Header">
    <w:name w:val="header"/>
    <w:basedOn w:val="Normal"/>
    <w:link w:val="HeaderChar"/>
    <w:uiPriority w:val="99"/>
    <w:unhideWhenUsed w:val="1"/>
    <w:rsid w:val="0053234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32342"/>
  </w:style>
  <w:style w:type="paragraph" w:styleId="Footer">
    <w:name w:val="footer"/>
    <w:basedOn w:val="Normal"/>
    <w:link w:val="FooterChar"/>
    <w:uiPriority w:val="99"/>
    <w:unhideWhenUsed w:val="1"/>
    <w:rsid w:val="0053234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32342"/>
  </w:style>
  <w:style w:type="paragraph" w:styleId="ListParagraph">
    <w:name w:val="List Paragraph"/>
    <w:basedOn w:val="Normal"/>
    <w:uiPriority w:val="34"/>
    <w:qFormat w:val="1"/>
    <w:rsid w:val="00EC67B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9A7163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US"/>
    </w:rPr>
  </w:style>
  <w:style w:type="character" w:styleId="Strong">
    <w:name w:val="Strong"/>
    <w:basedOn w:val="DefaultParagraphFont"/>
    <w:uiPriority w:val="22"/>
    <w:qFormat w:val="1"/>
    <w:rsid w:val="0078783D"/>
    <w:rPr>
      <w:b w:val="1"/>
      <w:bCs w:val="1"/>
    </w:rPr>
  </w:style>
  <w:style w:type="table" w:styleId="TableGrid">
    <w:name w:val="Table Grid"/>
    <w:basedOn w:val="TableNormal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64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64C82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531B3"/>
    <w:rPr>
      <w:color w:val="800080" w:themeColor="followedHyperlink"/>
      <w:u w:val="single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normaltextrun" w:customStyle="1">
    <w:name w:val="normaltextrun"/>
    <w:basedOn w:val="DefaultParagraphFont"/>
    <w:rsid w:val="00696BAC"/>
  </w:style>
  <w:style w:type="character" w:styleId="eop" w:customStyle="1">
    <w:name w:val="eop"/>
    <w:basedOn w:val="DefaultParagraphFont"/>
    <w:rsid w:val="00696BAC"/>
  </w:style>
  <w:style w:type="paragraph" w:styleId="paragraph" w:customStyle="1">
    <w:name w:val="paragraph"/>
    <w:basedOn w:val="Normal"/>
    <w:rsid w:val="00696BAC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US"/>
    </w:rPr>
  </w:style>
  <w:style w:type="character" w:styleId="KSARChar" w:customStyle="1">
    <w:name w:val="KSA_R Char"/>
    <w:basedOn w:val="DefaultParagraphFont"/>
    <w:link w:val="KSAR"/>
    <w:locked w:val="1"/>
    <w:rsid w:val="00696BAC"/>
    <w:rPr>
      <w:rFonts w:ascii="Book Antiqua" w:cs="KFGQPC KSA Regular" w:eastAsia="Calibri" w:hAnsi="Book Antiqua"/>
      <w:sz w:val="32"/>
      <w:szCs w:val="32"/>
      <w:lang w:eastAsia="ar"/>
    </w:rPr>
  </w:style>
  <w:style w:type="paragraph" w:styleId="KSAR" w:customStyle="1">
    <w:name w:val="KSA_R"/>
    <w:link w:val="KSARChar"/>
    <w:qFormat w:val="1"/>
    <w:rsid w:val="00696BAC"/>
    <w:pPr>
      <w:bidi w:val="1"/>
      <w:spacing w:after="160" w:line="256" w:lineRule="auto"/>
      <w:jc w:val="both"/>
    </w:pPr>
    <w:rPr>
      <w:rFonts w:ascii="Book Antiqua" w:cs="KFGQPC KSA Regular" w:eastAsia="Calibri" w:hAnsi="Book Antiqua"/>
      <w:sz w:val="32"/>
      <w:szCs w:val="32"/>
      <w:lang w:eastAsia="ar"/>
    </w:rPr>
  </w:style>
  <w:style w:type="paragraph" w:styleId="NoSpacing">
    <w:name w:val="No Spacing"/>
    <w:uiPriority w:val="1"/>
    <w:qFormat w:val="1"/>
    <w:rsid w:val="0022159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zuccarini@qm.org.qa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VV1AU9Dz5aU/JjSCuDWzq2Irw==">AMUW2mUBEKXTKuOS+7Kbrd4fdpc3G8DmwAkD9QGuC7WWeAyy5FIcO/6ExfsP8Herg/vybJMcmChjbJKSdWkbJxWdnPteYvnUPmntACPwj2/Ts6Gt08Dd2m0d6V5TJNozbn3KN8XftaGS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2022-10-25T16:58:00Z</dcterms:created>
  <dc:creator>basant elrazzaz</dc:creator>
</cp:coreProperties>
</file>