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يقدمان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معرضا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اللاجئين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الأفغان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الإجلاء</w:t>
      </w:r>
    </w:p>
    <w:p w:rsidR="00000000" w:rsidDel="00000000" w:rsidP="00000000" w:rsidRDefault="00000000" w:rsidRPr="00000000" w14:paraId="00000002">
      <w:pPr>
        <w:jc w:val="center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صمود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اللاجئين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الأفغان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وتاريخ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الغني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akkal Majalla" w:cs="Sakkal Majalla" w:eastAsia="Sakkal Majalla" w:hAnsi="Sakkal Majall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25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سيقدم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بالشراكة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مؤقت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اللاجئين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الأفغان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إجلائهم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2021.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حديقة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ويفتح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أبوابه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للجمهور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6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31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2022.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وقصص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اللاجئين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الأفغان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المصورة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والصور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الفوتوغرافية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ومقاطع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الفيديو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بدءا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نظرة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وأهمية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موقعها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الجغرافي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مفترق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طرق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القديمة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وثروتها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ومواردها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فضلا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جزءا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وأكبر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الإمبراطوريات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وأساس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الحضارات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العصر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البرونزي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: “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قصة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الأفغاني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قصة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صمود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مواجهة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التحديات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الشديدة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مروا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أثناء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الإجلاء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إنه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لشرف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كبير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نتشارك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لتسليط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المؤثرة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والملهمة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الاحتفال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بالثقافة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الغنية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والتاريخ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الغني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لأفغانستان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". 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كمركز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للنقاش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الفكري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والتميز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لآلاف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السنين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ويتناول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دعم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وعلاقاتها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الثنائية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الثلاثين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عاما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ودورها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عملية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الإجلاء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2021.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السيدة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لولوة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الخاطر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مساعد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يضيء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القوي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الحية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يمكن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للاجئين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فعله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لو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أتيحت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الفرصة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والأدوات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المناسبة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لذلك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وتفخر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بدورها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تسهيل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إجلاء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80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ألف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شخص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أفغان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جنسيات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وستواصل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دعم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الأفغاني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مساعيه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نحو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الاستقرار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والازدهار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".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فترة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وجودهم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تلقى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اللاجئون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الأفغان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دعما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القوات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المسلحة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الصحة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العامة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المنظمات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وأعضاء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المدني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والقطاع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الخاص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والجيل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المبهر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والاتحادات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الرياضية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الأخرى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لضمان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صحتهم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النفسية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وراحتهم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وتلبية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احتياجاتهم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تعريف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الأعمار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والبالغين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أيضا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بمختلف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الفنون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والتجارب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استطاعوا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تعلم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مهارات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.</w:t>
      </w:r>
    </w:p>
    <w:p w:rsidR="00000000" w:rsidDel="00000000" w:rsidP="00000000" w:rsidRDefault="00000000" w:rsidRPr="00000000" w14:paraId="0000000A">
      <w:pPr>
        <w:jc w:val="center"/>
        <w:rPr>
          <w:rFonts w:ascii="Sakkal Majalla" w:cs="Sakkal Majalla" w:eastAsia="Sakkal Majalla" w:hAnsi="Sakkal Majalla"/>
          <w:b w:val="1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rtl w:val="1"/>
        </w:rPr>
        <w:t xml:space="preserve">النهاية</w:t>
      </w:r>
    </w:p>
    <w:p w:rsidR="00000000" w:rsidDel="00000000" w:rsidP="00000000" w:rsidRDefault="00000000" w:rsidRPr="00000000" w14:paraId="0000000B">
      <w:pPr>
        <w:jc w:val="center"/>
        <w:rPr>
          <w:rFonts w:ascii="Sakkal Majalla" w:cs="Sakkal Majalla" w:eastAsia="Sakkal Majalla" w:hAnsi="Sakkal Majal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تأس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2008،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المشروعات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أطلقتها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صممه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المهندس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الصيني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الأميركي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الشهير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إم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مستوحى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الإسلامية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التقليدية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يحظى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بإطلالة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بانورامية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الواجهة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البحرية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لمدينة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يرتفع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شامخا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المياه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ويعرض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العالمية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تضم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محتويات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يمتد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بعضها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نحو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1400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وتتنوع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المحتويات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المخطوطات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الخزفية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والمعدنية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والزجاجية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والعاجية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والخشبية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والأحجار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الكريمة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مقتنيات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تنتمي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لثلاث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دولا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مختلفة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لإسبانيا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ويعود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المقتنيات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للفترة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الممتدة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السابع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الميلادي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ويتسم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للمعارض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بتنوعه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وتجدده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المستمر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ينظم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أنشطة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تعليمية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موس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للأطفال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والعائلات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يجعل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اكتسب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شعبية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واسعة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ويجذب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آلاف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الزوار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وتعمل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الدكتورة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جوليا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جونيلا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2017. 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 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  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ومهرجان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للتصوير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الفوتوغرافي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المستقبلية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3-2-1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سيتم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افتتاحه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قريب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 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الآثار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تقود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المبادرات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للحفاظ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والمباني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وترميمها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يرجى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https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://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qm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org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qa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طورت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" 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للتبادل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الرسمية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تستغرق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سوى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فغالب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أواصر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الصداقة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طويل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الأدوات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فعالية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التقريب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وتعميق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before="280" w:lineRule="auto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واحتفال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السنوية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العاشرة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تدخل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شراكة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وسيضم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26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لديها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والجزائر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وبنغلاديش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والبحرين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وبوتان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والعراق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وإيران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والأردن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والكويت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ولبنان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وليبيا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وجزر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المالديف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والمغرب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ونيبال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وباكستان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وفلسطين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والمملكة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السعودية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والسودان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وسريلانكا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وتركيا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وتونس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والإمارات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واليمن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الرائدة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فوق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الجميع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والصناعة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الخيرية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والاتحاد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للسياحة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والإرث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بمساعدة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الجوية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شملت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اليابان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2012،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2013،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البرازيل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2014،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تركيا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الصين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2016،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ألمانيا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روسيا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2018،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2019،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2020،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أمريكا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 2021.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56" w:lineRule="auto"/>
        <w:jc w:val="both"/>
        <w:rPr>
          <w:rFonts w:ascii="Sakkal Majalla" w:cs="Sakkal Majalla" w:eastAsia="Sakkal Majalla" w:hAnsi="Sakkal Majall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56" w:lineRule="auto"/>
        <w:jc w:val="both"/>
        <w:rPr>
          <w:rFonts w:ascii="Sakkal Majalla" w:cs="Sakkal Majalla" w:eastAsia="Sakkal Majalla" w:hAnsi="Sakkal Majalla"/>
          <w:b w:val="1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"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بالأنشطة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والترويج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وتسعى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تعاونها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الشركاء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قطاعات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والأفلام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والضيافة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الأداء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والقطاع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الخاص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لإعلاء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الصناعات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وربط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الجمهور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مباشرة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بالفعاليات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والأنشطة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المتنوعة</w:t>
      </w:r>
      <w:r w:rsidDel="00000000" w:rsidR="00000000" w:rsidRPr="00000000">
        <w:rPr>
          <w:rFonts w:ascii="Sakkal Majalla" w:cs="Sakkal Majalla" w:eastAsia="Sakkal Majalla" w:hAnsi="Sakkal Majalla"/>
          <w:rtl w:val="0"/>
        </w:rPr>
        <w:t xml:space="preserve">.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50" w:lineRule="auto"/>
        <w:ind w:right="90"/>
        <w:jc w:val="both"/>
        <w:rPr>
          <w:rFonts w:ascii="Sakkal Majalla" w:cs="Sakkal Majalla" w:eastAsia="Sakkal Majalla" w:hAnsi="Sakkal Majalla"/>
          <w:b w:val="1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rtl w:val="1"/>
        </w:rPr>
        <w:t xml:space="preserve">الإعلامي</w:t>
      </w:r>
    </w:p>
    <w:p w:rsidR="00000000" w:rsidDel="00000000" w:rsidP="00000000" w:rsidRDefault="00000000" w:rsidRPr="00000000" w14:paraId="00000021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خميس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مفتاح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00000"/>
            <w:rtl w:val="0"/>
          </w:rPr>
          <w:t xml:space="preserve">mfaraj@qm.org.qa</w:t>
        </w:r>
      </w:hyperlink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   (+974 4402 8544</w:t>
      </w:r>
    </w:p>
    <w:p w:rsidR="00000000" w:rsidDel="00000000" w:rsidP="00000000" w:rsidRDefault="00000000" w:rsidRPr="00000000" w14:paraId="00000022">
      <w:pPr>
        <w:bidi w:val="1"/>
        <w:spacing w:after="240" w:lineRule="auto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كيري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آن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هنريكو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rtl w:val="1"/>
        </w:rPr>
        <w:t xml:space="preserve"> </w:t>
      </w:r>
      <w:hyperlink r:id="rId8">
        <w:r w:rsidDel="00000000" w:rsidR="00000000" w:rsidRPr="00000000">
          <w:rPr>
            <w:rFonts w:ascii="Sakkal Majalla" w:cs="Sakkal Majalla" w:eastAsia="Sakkal Majalla" w:hAnsi="Sakkal Majalla"/>
            <w:color w:val="0000ff"/>
            <w:u w:val="single"/>
            <w:rtl w:val="0"/>
          </w:rPr>
          <w:t xml:space="preserve">khenrico@qm.org.qa</w:t>
        </w:r>
      </w:hyperlink>
      <w:r w:rsidDel="00000000" w:rsidR="00000000" w:rsidRPr="00000000">
        <w:rPr>
          <w:rFonts w:ascii="Sakkal Majalla" w:cs="Sakkal Majalla" w:eastAsia="Sakkal Majalla" w:hAnsi="Sakkal Majalla"/>
          <w:color w:val="000000"/>
          <w:rtl w:val="0"/>
        </w:rPr>
        <w:t xml:space="preserve">  (+974 70413862</w:t>
      </w:r>
    </w:p>
    <w:p w:rsidR="00000000" w:rsidDel="00000000" w:rsidP="00000000" w:rsidRDefault="00000000" w:rsidRPr="00000000" w14:paraId="00000023">
      <w:pPr>
        <w:bidi w:val="1"/>
        <w:rPr>
          <w:rFonts w:ascii="Sakkal Majalla" w:cs="Sakkal Majalla" w:eastAsia="Sakkal Majalla" w:hAnsi="Sakkal Majalla"/>
          <w:color w:val="00000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إذن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الصورة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واجهة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مدخل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المبنى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الرئيسي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ممر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أشجار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النخيل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بإذن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rtl w:val="1"/>
        </w:rPr>
        <w:t xml:space="preserve">الإسلامي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Sakkal Majalla" w:cs="Sakkal Majalla" w:eastAsia="Sakkal Majalla" w:hAnsi="Sakkal Majalla"/>
          <w:b w:val="1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jawal" w:cs="Tajawal" w:eastAsia="Tajawal" w:hAnsi="Tajaw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561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kkal Majalla"/>
  <w:font w:name="Calibri"/>
  <w:font w:name="MIA"/>
  <w:font w:name="Tajawal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3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-634999</wp:posOffset>
              </wp:positionV>
              <wp:extent cx="3239097" cy="747073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726452" y="3406464"/>
                        <a:ext cx="3239097" cy="747073"/>
                        <a:chOff x="3726452" y="3406464"/>
                        <a:chExt cx="3239097" cy="747073"/>
                      </a:xfrm>
                    </wpg:grpSpPr>
                    <wpg:grpSp>
                      <wpg:cNvGrpSpPr/>
                      <wpg:grpSpPr>
                        <a:xfrm>
                          <a:off x="3726452" y="3406464"/>
                          <a:ext cx="3239097" cy="747073"/>
                          <a:chOff x="0" y="0"/>
                          <a:chExt cx="3239097" cy="74707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239075" cy="74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 picture containing text, businesscard&#10;&#10;Description automatically generated"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14947" l="0" r="0" t="14624"/>
                          <a:stretch/>
                        </pic:blipFill>
                        <pic:spPr>
                          <a:xfrm>
                            <a:off x="0" y="0"/>
                            <a:ext cx="942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23582" y="13648"/>
                            <a:ext cx="221551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-634999</wp:posOffset>
              </wp:positionV>
              <wp:extent cx="3239097" cy="747073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9097" cy="7470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متحف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افن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12700</wp:posOffset>
              </wp:positionV>
              <wp:extent cx="7767615" cy="281305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2193" y="3639348"/>
                        <a:ext cx="7767615" cy="281305"/>
                        <a:chOff x="1462193" y="3639348"/>
                        <a:chExt cx="7767615" cy="281305"/>
                      </a:xfrm>
                    </wpg:grpSpPr>
                    <wpg:grpSp>
                      <wpg:cNvGrpSpPr/>
                      <wpg:grpSpPr>
                        <a:xfrm>
                          <a:off x="1462193" y="3639348"/>
                          <a:ext cx="7767615" cy="281305"/>
                          <a:chOff x="0" y="0"/>
                          <a:chExt cx="7767615" cy="2813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67600" cy="2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Picture 1" id="4" name="Shape 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978195" y="0"/>
                            <a:ext cx="678942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Picture 1" id="5" name="Shape 5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 flipH="1">
                            <a:off x="0" y="0"/>
                            <a:ext cx="240728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Picture 1" id="6" name="Shape 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6567" y="0"/>
                            <a:ext cx="594296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12700</wp:posOffset>
              </wp:positionV>
              <wp:extent cx="7767615" cy="281305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15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340"/>
      </w:tabs>
      <w:spacing w:after="0" w:before="0" w:line="240" w:lineRule="auto"/>
      <w:ind w:left="0" w:right="0" w:firstLine="0"/>
      <w:jc w:val="right"/>
      <w:rPr>
        <w:rFonts w:ascii="MIA" w:cs="MIA" w:eastAsia="MIA" w:hAnsi="M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cs="Arial Unicode MS" w:hAnsi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cs="Arial Unicode MS" w:hAnsi="Calibri"/>
      <w:color w:val="000000"/>
      <w:sz w:val="24"/>
      <w:szCs w:val="24"/>
      <w:u w:color="000000"/>
    </w:rPr>
  </w:style>
  <w:style w:type="paragraph" w:styleId="Body" w:customStyle="1">
    <w:name w:val="Body"/>
    <w:rPr>
      <w:rFonts w:ascii="Calibri" w:cs="Arial Unicode MS" w:hAnsi="Calibri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563c1"/>
      <w:u w:color="0563c1"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zuccarini@qm.org.qa" TargetMode="External"/><Relationship Id="rId8" Type="http://schemas.openxmlformats.org/officeDocument/2006/relationships/hyperlink" Target="mailto:khenrico@qm.org.q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jawal-regular.ttf"/><Relationship Id="rId2" Type="http://schemas.openxmlformats.org/officeDocument/2006/relationships/font" Target="fonts/Tajawal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6fEVPo7N8F54R7QtnrX/im2TQ==">AMUW2mUiJzMjLm9vJLgIL0gegP6iyX9dYdK63mqpnBMDfaRWB6TapyGHdtZTYPZC1AQ4ILCuncfRH91AJAfos11otXHUGgqiDcoVrbuKJwNeK0pQ/WfWrp5Ox+RkLfYUcHtevJStwPaZ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2022-09-25T12:24:00Z</dcterms:created>
  <dc:creator>DELL</dc:creator>
</cp:coreProperties>
</file>